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A60" w:rsidRDefault="00D61A60">
      <w:pPr>
        <w:pStyle w:val="ConsPlusTitlePage"/>
      </w:pPr>
      <w:r>
        <w:t xml:space="preserve">Документ предоставлен </w:t>
      </w:r>
      <w:hyperlink r:id="rId5">
        <w:r>
          <w:rPr>
            <w:color w:val="0000FF"/>
          </w:rPr>
          <w:t>КонсультантПлюс</w:t>
        </w:r>
      </w:hyperlink>
      <w:r>
        <w:br/>
      </w:r>
    </w:p>
    <w:p w:rsidR="00D61A60" w:rsidRDefault="00D61A60">
      <w:pPr>
        <w:pStyle w:val="ConsPlusNormal"/>
        <w:outlineLvl w:val="0"/>
      </w:pPr>
    </w:p>
    <w:p w:rsidR="00D61A60" w:rsidRDefault="00D61A60">
      <w:pPr>
        <w:pStyle w:val="ConsPlusTitle"/>
        <w:jc w:val="center"/>
        <w:outlineLvl w:val="0"/>
      </w:pPr>
      <w:r>
        <w:t>АДМИНИСТРАЦИЯ ГОРОДСКОГО ОКРУГА ГОРОД ВОРОНЕЖ</w:t>
      </w:r>
    </w:p>
    <w:p w:rsidR="00D61A60" w:rsidRDefault="00D61A60">
      <w:pPr>
        <w:pStyle w:val="ConsPlusTitle"/>
        <w:jc w:val="center"/>
      </w:pPr>
    </w:p>
    <w:p w:rsidR="00D61A60" w:rsidRDefault="00D61A60">
      <w:pPr>
        <w:pStyle w:val="ConsPlusTitle"/>
        <w:jc w:val="center"/>
      </w:pPr>
      <w:r>
        <w:t>ПОСТАНОВЛЕНИЕ</w:t>
      </w:r>
    </w:p>
    <w:p w:rsidR="00D61A60" w:rsidRDefault="00D61A60">
      <w:pPr>
        <w:pStyle w:val="ConsPlusTitle"/>
        <w:jc w:val="center"/>
      </w:pPr>
      <w:r>
        <w:t>от 9 августа 2013 г. N 742</w:t>
      </w:r>
    </w:p>
    <w:p w:rsidR="00D61A60" w:rsidRDefault="00D61A60">
      <w:pPr>
        <w:pStyle w:val="ConsPlusTitle"/>
        <w:jc w:val="center"/>
      </w:pPr>
    </w:p>
    <w:p w:rsidR="00D61A60" w:rsidRDefault="00D61A60">
      <w:pPr>
        <w:pStyle w:val="ConsPlusTitle"/>
        <w:jc w:val="center"/>
      </w:pPr>
      <w:r>
        <w:t>ОБ УТВЕРЖДЕНИИ ПРОЕКТА ПЛАНИРОВКИ ТЕРРИТОРИИ, ОГРАНИЧЕННОЙ</w:t>
      </w:r>
    </w:p>
    <w:p w:rsidR="00D61A60" w:rsidRDefault="00D61A60">
      <w:pPr>
        <w:pStyle w:val="ConsPlusTitle"/>
        <w:jc w:val="center"/>
      </w:pPr>
      <w:r>
        <w:t xml:space="preserve">УЛИЦАМИ: ЛЕНИНСКИЙ ПРОСПЕКТ, </w:t>
      </w:r>
      <w:proofErr w:type="gramStart"/>
      <w:r>
        <w:t>АРЗАМАССКАЯ</w:t>
      </w:r>
      <w:proofErr w:type="gramEnd"/>
      <w:r>
        <w:t>, МОПРА,</w:t>
      </w:r>
    </w:p>
    <w:p w:rsidR="00D61A60" w:rsidRDefault="00D61A60">
      <w:pPr>
        <w:pStyle w:val="ConsPlusTitle"/>
        <w:jc w:val="center"/>
      </w:pPr>
      <w:r>
        <w:t>ПЕР. ЗАРЕЧНЫЙ В ГОРОДСКОМ ОКРУГЕ ГОРОД ВОРОНЕЖ</w:t>
      </w:r>
    </w:p>
    <w:p w:rsidR="00D61A60" w:rsidRDefault="00D61A60">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61A6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61A60" w:rsidRDefault="00D61A6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61A60" w:rsidRDefault="00D61A6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61A60" w:rsidRDefault="00D61A60">
            <w:pPr>
              <w:pStyle w:val="ConsPlusNormal"/>
              <w:jc w:val="both"/>
            </w:pPr>
            <w:r>
              <w:rPr>
                <w:color w:val="392C69"/>
              </w:rPr>
              <w:t>КонсультантПлюс: примечание.</w:t>
            </w:r>
          </w:p>
          <w:p w:rsidR="00D61A60" w:rsidRDefault="00D61A60">
            <w:pPr>
              <w:pStyle w:val="ConsPlusNormal"/>
              <w:jc w:val="both"/>
            </w:pPr>
            <w:r>
              <w:rPr>
                <w:color w:val="392C69"/>
              </w:rPr>
              <w:t>В официальном тексте документа, видимо, допущена опечатка: Федеральный закон "Об общих принципах организации местного самоуправления в Российской Федерации" N 131-ФЗ принят 06.10.2003, а не 16.10.2003.</w:t>
            </w:r>
          </w:p>
        </w:tc>
        <w:tc>
          <w:tcPr>
            <w:tcW w:w="113" w:type="dxa"/>
            <w:tcBorders>
              <w:top w:val="nil"/>
              <w:left w:val="nil"/>
              <w:bottom w:val="nil"/>
              <w:right w:val="nil"/>
            </w:tcBorders>
            <w:shd w:val="clear" w:color="auto" w:fill="F4F3F8"/>
            <w:tcMar>
              <w:top w:w="0" w:type="dxa"/>
              <w:left w:w="0" w:type="dxa"/>
              <w:bottom w:w="0" w:type="dxa"/>
              <w:right w:w="0" w:type="dxa"/>
            </w:tcMar>
          </w:tcPr>
          <w:p w:rsidR="00D61A60" w:rsidRDefault="00D61A60">
            <w:pPr>
              <w:pStyle w:val="ConsPlusNormal"/>
            </w:pPr>
          </w:p>
        </w:tc>
      </w:tr>
    </w:tbl>
    <w:p w:rsidR="00D61A60" w:rsidRDefault="00D61A60">
      <w:pPr>
        <w:pStyle w:val="ConsPlusNormal"/>
        <w:spacing w:before="280"/>
        <w:ind w:firstLine="540"/>
        <w:jc w:val="both"/>
      </w:pPr>
      <w:proofErr w:type="gramStart"/>
      <w:r>
        <w:t xml:space="preserve">В соответствии с Градостроительным </w:t>
      </w:r>
      <w:hyperlink r:id="rId6">
        <w:r>
          <w:rPr>
            <w:color w:val="0000FF"/>
          </w:rPr>
          <w:t>кодексом</w:t>
        </w:r>
      </w:hyperlink>
      <w:r>
        <w:t xml:space="preserve"> Российской Федерации от 29.12.2004 N 190-ФЗ, Федеральным </w:t>
      </w:r>
      <w:hyperlink r:id="rId7">
        <w:r>
          <w:rPr>
            <w:color w:val="0000FF"/>
          </w:rPr>
          <w:t>законом</w:t>
        </w:r>
      </w:hyperlink>
      <w:r>
        <w:t xml:space="preserve"> от 16.10.2003 N 131-ФЗ "Об общих принципах организации местного самоуправления в Российской Федерации", </w:t>
      </w:r>
      <w:hyperlink r:id="rId8">
        <w:r>
          <w:rPr>
            <w:color w:val="0000FF"/>
          </w:rPr>
          <w:t>постановлением</w:t>
        </w:r>
      </w:hyperlink>
      <w:r>
        <w:t xml:space="preserve"> Воронежской городской Думы от 27.10.2004 N 150-I "Об Уставе городского округа город Воронеж", в целях реализации Генерального </w:t>
      </w:r>
      <w:hyperlink r:id="rId9">
        <w:r>
          <w:rPr>
            <w:color w:val="0000FF"/>
          </w:rPr>
          <w:t>плана</w:t>
        </w:r>
      </w:hyperlink>
      <w:r>
        <w:t xml:space="preserve"> городского округа город Воронеж, утвержденного решением Воронежской городской Думы от 19.12.2008 N 422-II, в связи</w:t>
      </w:r>
      <w:proofErr w:type="gramEnd"/>
      <w:r>
        <w:t xml:space="preserve"> с исполнением </w:t>
      </w:r>
      <w:hyperlink r:id="rId10">
        <w:r>
          <w:rPr>
            <w:color w:val="0000FF"/>
          </w:rPr>
          <w:t>постановления</w:t>
        </w:r>
      </w:hyperlink>
      <w:r>
        <w:t xml:space="preserve"> администрации городского округа город Воронеж от 07 июля 2011 года N 626 "О подготовке проекта планировки территории, ограниченной улицами: Ленинский проспект, </w:t>
      </w:r>
      <w:proofErr w:type="gramStart"/>
      <w:r>
        <w:t>Арзамасская</w:t>
      </w:r>
      <w:proofErr w:type="gramEnd"/>
      <w:r>
        <w:t>, МОПРа, пер. Заречный в городском округе город Воронеж", с учетом заключения от 25.03.2013 о результатах публичных слушаний по проекту планировки территории, ограниченной улицами: Ленинский проспект, Арзамасская, МОПРа, пер. Заречный в городском округе город Воронеж, администрация городского округа город Воронеж постановляет:</w:t>
      </w:r>
    </w:p>
    <w:p w:rsidR="00D61A60" w:rsidRDefault="00D61A60">
      <w:pPr>
        <w:pStyle w:val="ConsPlusNormal"/>
        <w:spacing w:before="220"/>
        <w:ind w:firstLine="540"/>
        <w:jc w:val="both"/>
      </w:pPr>
      <w:r>
        <w:t xml:space="preserve">Утвердить прилагаемый </w:t>
      </w:r>
      <w:hyperlink w:anchor="P30">
        <w:r>
          <w:rPr>
            <w:color w:val="0000FF"/>
          </w:rPr>
          <w:t>проект</w:t>
        </w:r>
      </w:hyperlink>
      <w:r>
        <w:t xml:space="preserve"> планировки территории, ограниченной улицами: Ленинский проспект, </w:t>
      </w:r>
      <w:proofErr w:type="gramStart"/>
      <w:r>
        <w:t>Арзамасская</w:t>
      </w:r>
      <w:proofErr w:type="gramEnd"/>
      <w:r>
        <w:t>, МОПРа, пер. Заречный в городском округе город Воронеж.</w:t>
      </w:r>
    </w:p>
    <w:p w:rsidR="00D61A60" w:rsidRDefault="00D61A60">
      <w:pPr>
        <w:pStyle w:val="ConsPlusNormal"/>
        <w:jc w:val="right"/>
      </w:pPr>
    </w:p>
    <w:p w:rsidR="00D61A60" w:rsidRDefault="00D61A60">
      <w:pPr>
        <w:pStyle w:val="ConsPlusNormal"/>
        <w:jc w:val="right"/>
      </w:pPr>
      <w:proofErr w:type="gramStart"/>
      <w:r>
        <w:t>Исполняющий</w:t>
      </w:r>
      <w:proofErr w:type="gramEnd"/>
      <w:r>
        <w:t xml:space="preserve"> полномочия</w:t>
      </w:r>
    </w:p>
    <w:p w:rsidR="00D61A60" w:rsidRDefault="00D61A60">
      <w:pPr>
        <w:pStyle w:val="ConsPlusNormal"/>
        <w:jc w:val="right"/>
      </w:pPr>
      <w:r>
        <w:t>главы администрации</w:t>
      </w:r>
    </w:p>
    <w:p w:rsidR="00D61A60" w:rsidRDefault="00D61A60">
      <w:pPr>
        <w:pStyle w:val="ConsPlusNormal"/>
        <w:jc w:val="right"/>
      </w:pPr>
      <w:r>
        <w:t>городского округа город Воронеж</w:t>
      </w:r>
    </w:p>
    <w:p w:rsidR="00D61A60" w:rsidRDefault="00D61A60">
      <w:pPr>
        <w:pStyle w:val="ConsPlusNormal"/>
        <w:jc w:val="right"/>
      </w:pPr>
      <w:r>
        <w:t>С.А.КРЮЧКОВ</w:t>
      </w:r>
    </w:p>
    <w:p w:rsidR="00D61A60" w:rsidRDefault="00D61A60">
      <w:pPr>
        <w:pStyle w:val="ConsPlusNormal"/>
        <w:jc w:val="right"/>
      </w:pPr>
    </w:p>
    <w:p w:rsidR="00D61A60" w:rsidRDefault="00D61A60">
      <w:pPr>
        <w:pStyle w:val="ConsPlusNormal"/>
        <w:jc w:val="right"/>
      </w:pPr>
    </w:p>
    <w:p w:rsidR="00D61A60" w:rsidRDefault="00D61A60">
      <w:pPr>
        <w:pStyle w:val="ConsPlusNormal"/>
        <w:jc w:val="right"/>
      </w:pPr>
    </w:p>
    <w:p w:rsidR="00D61A60" w:rsidRDefault="00D61A60">
      <w:pPr>
        <w:pStyle w:val="ConsPlusNormal"/>
        <w:jc w:val="right"/>
      </w:pPr>
    </w:p>
    <w:p w:rsidR="00D61A60" w:rsidRDefault="00D61A60">
      <w:pPr>
        <w:pStyle w:val="ConsPlusNormal"/>
        <w:jc w:val="right"/>
      </w:pPr>
    </w:p>
    <w:p w:rsidR="00D61A60" w:rsidRDefault="00D61A60">
      <w:pPr>
        <w:pStyle w:val="ConsPlusNormal"/>
        <w:jc w:val="right"/>
        <w:outlineLvl w:val="0"/>
      </w:pPr>
      <w:r>
        <w:t>Утвержден</w:t>
      </w:r>
    </w:p>
    <w:p w:rsidR="00D61A60" w:rsidRDefault="00D61A60">
      <w:pPr>
        <w:pStyle w:val="ConsPlusNormal"/>
        <w:jc w:val="right"/>
      </w:pPr>
      <w:r>
        <w:t>постановлением</w:t>
      </w:r>
    </w:p>
    <w:p w:rsidR="00D61A60" w:rsidRDefault="00D61A60">
      <w:pPr>
        <w:pStyle w:val="ConsPlusNormal"/>
        <w:jc w:val="right"/>
      </w:pPr>
      <w:r>
        <w:t xml:space="preserve">администрации </w:t>
      </w:r>
      <w:proofErr w:type="gramStart"/>
      <w:r>
        <w:t>городского</w:t>
      </w:r>
      <w:proofErr w:type="gramEnd"/>
    </w:p>
    <w:p w:rsidR="00D61A60" w:rsidRDefault="00D61A60">
      <w:pPr>
        <w:pStyle w:val="ConsPlusNormal"/>
        <w:jc w:val="right"/>
      </w:pPr>
      <w:r>
        <w:t>округа город Воронеж</w:t>
      </w:r>
    </w:p>
    <w:p w:rsidR="00D61A60" w:rsidRDefault="00D61A60">
      <w:pPr>
        <w:pStyle w:val="ConsPlusNormal"/>
        <w:jc w:val="right"/>
      </w:pPr>
      <w:r>
        <w:t>от 09.08.2013 N 742</w:t>
      </w:r>
    </w:p>
    <w:p w:rsidR="00D61A60" w:rsidRDefault="00D61A60">
      <w:pPr>
        <w:pStyle w:val="ConsPlusNormal"/>
        <w:ind w:firstLine="540"/>
        <w:jc w:val="both"/>
      </w:pPr>
    </w:p>
    <w:p w:rsidR="00D61A60" w:rsidRDefault="00D61A60">
      <w:pPr>
        <w:pStyle w:val="ConsPlusTitle"/>
        <w:jc w:val="center"/>
      </w:pPr>
      <w:bookmarkStart w:id="0" w:name="P30"/>
      <w:bookmarkEnd w:id="0"/>
      <w:r>
        <w:t>ПРОЕКТ</w:t>
      </w:r>
    </w:p>
    <w:p w:rsidR="00D61A60" w:rsidRDefault="00D61A60">
      <w:pPr>
        <w:pStyle w:val="ConsPlusTitle"/>
        <w:jc w:val="center"/>
      </w:pPr>
      <w:r>
        <w:t>ПЛАНИРОВКИ ТЕРРИТОРИИ, ОГРАНИЧЕННОЙ УЛИЦАМИ:</w:t>
      </w:r>
    </w:p>
    <w:p w:rsidR="00D61A60" w:rsidRDefault="00D61A60">
      <w:pPr>
        <w:pStyle w:val="ConsPlusTitle"/>
        <w:jc w:val="center"/>
      </w:pPr>
      <w:r>
        <w:t xml:space="preserve">ЛЕНИНСКИЙ ПРОСПЕКТ, </w:t>
      </w:r>
      <w:proofErr w:type="gramStart"/>
      <w:r>
        <w:t>АРЗАМАССКАЯ</w:t>
      </w:r>
      <w:proofErr w:type="gramEnd"/>
      <w:r>
        <w:t>, МОПРА, ПЕР. ЗАРЕЧНЫЙ</w:t>
      </w:r>
    </w:p>
    <w:p w:rsidR="00D61A60" w:rsidRDefault="00D61A60">
      <w:pPr>
        <w:pStyle w:val="ConsPlusTitle"/>
        <w:jc w:val="center"/>
      </w:pPr>
      <w:r>
        <w:t>В ГОРОДСКОМ ОКРУГЕ ГОРОД ВОРОНЕЖ</w:t>
      </w:r>
    </w:p>
    <w:p w:rsidR="00D61A60" w:rsidRDefault="00D61A60">
      <w:pPr>
        <w:pStyle w:val="ConsPlusNormal"/>
        <w:jc w:val="center"/>
      </w:pPr>
    </w:p>
    <w:p w:rsidR="00D61A60" w:rsidRDefault="00D61A60">
      <w:pPr>
        <w:pStyle w:val="ConsPlusNormal"/>
        <w:ind w:firstLine="540"/>
        <w:jc w:val="both"/>
      </w:pPr>
      <w:r>
        <w:lastRenderedPageBreak/>
        <w:t xml:space="preserve">1. </w:t>
      </w:r>
      <w:hyperlink w:anchor="P54">
        <w:r>
          <w:rPr>
            <w:color w:val="0000FF"/>
          </w:rPr>
          <w:t>Положение</w:t>
        </w:r>
      </w:hyperlink>
      <w:r>
        <w:t xml:space="preserve"> о размещении объектов капитального строительства и характеристиках планируемого развития территории, ограниченной улицами: Ленинский проспект, </w:t>
      </w:r>
      <w:proofErr w:type="gramStart"/>
      <w:r>
        <w:t>Арзамасская</w:t>
      </w:r>
      <w:proofErr w:type="gramEnd"/>
      <w:r>
        <w:t>, МОПРа, пер. Заречный в городском округе город Воронеж (приложение N 1).</w:t>
      </w:r>
    </w:p>
    <w:p w:rsidR="00D61A60" w:rsidRDefault="00D61A60">
      <w:pPr>
        <w:pStyle w:val="ConsPlusNormal"/>
        <w:spacing w:before="220"/>
        <w:ind w:firstLine="540"/>
        <w:jc w:val="both"/>
      </w:pPr>
      <w:r>
        <w:t xml:space="preserve">2. Чертеж планировки территории, ограниченной улицами: Ленинский проспект, </w:t>
      </w:r>
      <w:proofErr w:type="gramStart"/>
      <w:r>
        <w:t>Арзамасская</w:t>
      </w:r>
      <w:proofErr w:type="gramEnd"/>
      <w:r>
        <w:t>, МОПРа, пер. Заречный в городском округе город Воронеж (приложение N 2 - не приводится).</w:t>
      </w:r>
    </w:p>
    <w:p w:rsidR="00D61A60" w:rsidRDefault="00D61A60">
      <w:pPr>
        <w:pStyle w:val="ConsPlusNormal"/>
        <w:jc w:val="right"/>
      </w:pPr>
    </w:p>
    <w:p w:rsidR="00D61A60" w:rsidRDefault="00D61A60">
      <w:pPr>
        <w:pStyle w:val="ConsPlusNormal"/>
        <w:jc w:val="right"/>
      </w:pPr>
      <w:r>
        <w:t>Руководитель управления</w:t>
      </w:r>
    </w:p>
    <w:p w:rsidR="00D61A60" w:rsidRDefault="00D61A60">
      <w:pPr>
        <w:pStyle w:val="ConsPlusNormal"/>
        <w:jc w:val="right"/>
      </w:pPr>
      <w:r>
        <w:t>главного архитектора городского округа</w:t>
      </w:r>
    </w:p>
    <w:p w:rsidR="00D61A60" w:rsidRDefault="00D61A60">
      <w:pPr>
        <w:pStyle w:val="ConsPlusNormal"/>
        <w:jc w:val="right"/>
      </w:pPr>
      <w:r>
        <w:t>А.В.ШЕВЕЛЕВ</w:t>
      </w:r>
    </w:p>
    <w:p w:rsidR="00D61A60" w:rsidRDefault="00D61A60">
      <w:pPr>
        <w:pStyle w:val="ConsPlusNormal"/>
        <w:jc w:val="right"/>
      </w:pPr>
    </w:p>
    <w:p w:rsidR="00D61A60" w:rsidRDefault="00D61A60">
      <w:pPr>
        <w:pStyle w:val="ConsPlusNormal"/>
        <w:jc w:val="right"/>
      </w:pPr>
    </w:p>
    <w:p w:rsidR="00D61A60" w:rsidRDefault="00D61A60">
      <w:pPr>
        <w:pStyle w:val="ConsPlusNormal"/>
        <w:jc w:val="right"/>
      </w:pPr>
    </w:p>
    <w:p w:rsidR="00D61A60" w:rsidRDefault="00D61A60">
      <w:pPr>
        <w:pStyle w:val="ConsPlusNormal"/>
        <w:jc w:val="right"/>
      </w:pPr>
    </w:p>
    <w:p w:rsidR="00D61A60" w:rsidRDefault="00D61A60">
      <w:pPr>
        <w:pStyle w:val="ConsPlusNormal"/>
        <w:jc w:val="right"/>
      </w:pPr>
    </w:p>
    <w:p w:rsidR="00D61A60" w:rsidRDefault="00D61A60">
      <w:pPr>
        <w:pStyle w:val="ConsPlusNormal"/>
        <w:jc w:val="right"/>
        <w:outlineLvl w:val="1"/>
      </w:pPr>
      <w:r>
        <w:t>Приложение N 1</w:t>
      </w:r>
    </w:p>
    <w:p w:rsidR="00D61A60" w:rsidRDefault="00D61A60">
      <w:pPr>
        <w:pStyle w:val="ConsPlusNormal"/>
        <w:jc w:val="right"/>
      </w:pPr>
      <w:r>
        <w:t>к проекту</w:t>
      </w:r>
    </w:p>
    <w:p w:rsidR="00D61A60" w:rsidRDefault="00D61A60">
      <w:pPr>
        <w:pStyle w:val="ConsPlusNormal"/>
        <w:jc w:val="right"/>
      </w:pPr>
      <w:r>
        <w:t>планировки территории,</w:t>
      </w:r>
    </w:p>
    <w:p w:rsidR="00D61A60" w:rsidRDefault="00D61A60">
      <w:pPr>
        <w:pStyle w:val="ConsPlusNormal"/>
        <w:jc w:val="right"/>
      </w:pPr>
      <w:proofErr w:type="gramStart"/>
      <w:r>
        <w:t>ограниченной</w:t>
      </w:r>
      <w:proofErr w:type="gramEnd"/>
      <w:r>
        <w:t xml:space="preserve"> улицами:</w:t>
      </w:r>
    </w:p>
    <w:p w:rsidR="00D61A60" w:rsidRDefault="00D61A60">
      <w:pPr>
        <w:pStyle w:val="ConsPlusNormal"/>
        <w:jc w:val="right"/>
      </w:pPr>
      <w:r>
        <w:t xml:space="preserve">Ленинский проспект, </w:t>
      </w:r>
      <w:proofErr w:type="gramStart"/>
      <w:r>
        <w:t>Арзамасская</w:t>
      </w:r>
      <w:proofErr w:type="gramEnd"/>
      <w:r>
        <w:t>,</w:t>
      </w:r>
    </w:p>
    <w:p w:rsidR="00D61A60" w:rsidRDefault="00D61A60">
      <w:pPr>
        <w:pStyle w:val="ConsPlusNormal"/>
        <w:jc w:val="right"/>
      </w:pPr>
      <w:r>
        <w:t>МОПРа, пер. Заречный в городском</w:t>
      </w:r>
    </w:p>
    <w:p w:rsidR="00D61A60" w:rsidRDefault="00D61A60">
      <w:pPr>
        <w:pStyle w:val="ConsPlusNormal"/>
        <w:jc w:val="right"/>
      </w:pPr>
      <w:r>
        <w:t>округе город Воронеж</w:t>
      </w:r>
    </w:p>
    <w:p w:rsidR="00D61A60" w:rsidRDefault="00D61A60">
      <w:pPr>
        <w:pStyle w:val="ConsPlusNormal"/>
        <w:jc w:val="center"/>
      </w:pPr>
    </w:p>
    <w:p w:rsidR="00D61A60" w:rsidRDefault="00D61A60">
      <w:pPr>
        <w:pStyle w:val="ConsPlusNormal"/>
        <w:jc w:val="center"/>
      </w:pPr>
      <w:bookmarkStart w:id="1" w:name="P54"/>
      <w:bookmarkEnd w:id="1"/>
      <w:r>
        <w:t>Положение</w:t>
      </w:r>
    </w:p>
    <w:p w:rsidR="00D61A60" w:rsidRDefault="00D61A60">
      <w:pPr>
        <w:pStyle w:val="ConsPlusNormal"/>
        <w:jc w:val="center"/>
      </w:pPr>
      <w:r>
        <w:t>о размещении объектов капитального строительства</w:t>
      </w:r>
    </w:p>
    <w:p w:rsidR="00D61A60" w:rsidRDefault="00D61A60">
      <w:pPr>
        <w:pStyle w:val="ConsPlusNormal"/>
        <w:jc w:val="center"/>
      </w:pPr>
      <w:r>
        <w:t xml:space="preserve">и </w:t>
      </w:r>
      <w:proofErr w:type="gramStart"/>
      <w:r>
        <w:t>характеристиках</w:t>
      </w:r>
      <w:proofErr w:type="gramEnd"/>
      <w:r>
        <w:t xml:space="preserve"> планируемого развития территории,</w:t>
      </w:r>
    </w:p>
    <w:p w:rsidR="00D61A60" w:rsidRDefault="00D61A60">
      <w:pPr>
        <w:pStyle w:val="ConsPlusNormal"/>
        <w:jc w:val="center"/>
      </w:pPr>
      <w:proofErr w:type="gramStart"/>
      <w:r>
        <w:t>ограниченной</w:t>
      </w:r>
      <w:proofErr w:type="gramEnd"/>
      <w:r>
        <w:t xml:space="preserve"> улицами: Ленинский проспект, </w:t>
      </w:r>
      <w:proofErr w:type="gramStart"/>
      <w:r>
        <w:t>Арзамасская</w:t>
      </w:r>
      <w:proofErr w:type="gramEnd"/>
      <w:r>
        <w:t>,</w:t>
      </w:r>
    </w:p>
    <w:p w:rsidR="00D61A60" w:rsidRDefault="00D61A60">
      <w:pPr>
        <w:pStyle w:val="ConsPlusNormal"/>
        <w:jc w:val="center"/>
      </w:pPr>
      <w:r>
        <w:t>МОПРа, пер. Заречный в городском округе город Воронеж</w:t>
      </w:r>
    </w:p>
    <w:p w:rsidR="00D61A60" w:rsidRDefault="00D61A60">
      <w:pPr>
        <w:pStyle w:val="ConsPlusNormal"/>
        <w:jc w:val="center"/>
      </w:pPr>
    </w:p>
    <w:p w:rsidR="00D61A60" w:rsidRDefault="00D61A60">
      <w:pPr>
        <w:pStyle w:val="ConsPlusNormal"/>
        <w:jc w:val="center"/>
        <w:outlineLvl w:val="2"/>
      </w:pPr>
      <w:r>
        <w:t>I. Общие положения</w:t>
      </w:r>
    </w:p>
    <w:p w:rsidR="00D61A60" w:rsidRDefault="00D61A60">
      <w:pPr>
        <w:pStyle w:val="ConsPlusNormal"/>
        <w:jc w:val="center"/>
      </w:pPr>
    </w:p>
    <w:p w:rsidR="00D61A60" w:rsidRDefault="00D61A60">
      <w:pPr>
        <w:pStyle w:val="ConsPlusNormal"/>
        <w:ind w:firstLine="540"/>
        <w:jc w:val="both"/>
      </w:pPr>
      <w:r>
        <w:t xml:space="preserve">Проект планировки территории, ограниченной улицами: Ленинский проспект, Арзамасская, МОПРа, пер. Заречный в городском округе город Воронеж (далее - проект планировки территории, проектируемая территория), разработан на основании </w:t>
      </w:r>
      <w:hyperlink r:id="rId11">
        <w:r>
          <w:rPr>
            <w:color w:val="0000FF"/>
          </w:rPr>
          <w:t>постановления</w:t>
        </w:r>
      </w:hyperlink>
      <w:r>
        <w:t xml:space="preserve"> администрации городского округа город Воронеж N 626 от 07.07.2011 "О подготовке проекта планировки территории, ограниченной улицами: </w:t>
      </w:r>
      <w:proofErr w:type="gramStart"/>
      <w:r>
        <w:t xml:space="preserve">Ленинский проспект, Арзамасская, МОПРа, пер. Заречный в городском округе город Воронеж", заявления ООО ТСК "ВоронежГрандСтрой", Генерального </w:t>
      </w:r>
      <w:hyperlink r:id="rId12">
        <w:r>
          <w:rPr>
            <w:color w:val="0000FF"/>
          </w:rPr>
          <w:t>плана</w:t>
        </w:r>
      </w:hyperlink>
      <w:r>
        <w:t xml:space="preserve"> городского округа город Воронеж, утвержденного решением Воронежской городской Думы от 19.12.2008 N 422-II "Об утверждении Генерального плана городского округа город Воронеж" (далее - Генеральный план), </w:t>
      </w:r>
      <w:hyperlink r:id="rId13">
        <w:r>
          <w:rPr>
            <w:color w:val="0000FF"/>
          </w:rPr>
          <w:t>плана</w:t>
        </w:r>
      </w:hyperlink>
      <w:r>
        <w:t xml:space="preserve"> реализации Генерального плана городского округа город Воронеж на период с 2009 по 2011 годы, утвержденного постановлением главы городского</w:t>
      </w:r>
      <w:proofErr w:type="gramEnd"/>
      <w:r>
        <w:t xml:space="preserve"> </w:t>
      </w:r>
      <w:proofErr w:type="gramStart"/>
      <w:r>
        <w:t xml:space="preserve">округа город Воронеж от 8 июня 2009 года N 441 "О плане реализации Генерального плана городского округа город Воронеж на период с 2009 по 2011 годы" (далее - План реализации Генерального плана), а также </w:t>
      </w:r>
      <w:hyperlink r:id="rId14">
        <w:r>
          <w:rPr>
            <w:color w:val="0000FF"/>
          </w:rPr>
          <w:t>Правил</w:t>
        </w:r>
      </w:hyperlink>
      <w:r>
        <w:t xml:space="preserve"> землепользования и застройки, утвержденных решением Воронежской городской Думы от 25.12.2009 N 384-II "Об утверждении Правил землепользования и застройки городского округа город Воронеж", в соответствии с требованиями</w:t>
      </w:r>
      <w:proofErr w:type="gramEnd"/>
      <w:r>
        <w:t xml:space="preserve"> Градостроительного </w:t>
      </w:r>
      <w:hyperlink r:id="rId15">
        <w:r>
          <w:rPr>
            <w:color w:val="0000FF"/>
          </w:rPr>
          <w:t>кодекса</w:t>
        </w:r>
      </w:hyperlink>
      <w:r>
        <w:t xml:space="preserve"> Российской Федерации, иных нормативных правовых актов Российской Федерации, Воронежской области, муниципальных правовых актов городского округа город Воронеж.</w:t>
      </w:r>
    </w:p>
    <w:p w:rsidR="00D61A60" w:rsidRDefault="00D61A60">
      <w:pPr>
        <w:pStyle w:val="ConsPlusNormal"/>
        <w:spacing w:before="220"/>
        <w:ind w:firstLine="540"/>
        <w:jc w:val="both"/>
      </w:pPr>
      <w:r>
        <w:t xml:space="preserve">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w:t>
      </w:r>
      <w:r>
        <w:lastRenderedPageBreak/>
        <w:t>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D61A60" w:rsidRDefault="00D61A60">
      <w:pPr>
        <w:pStyle w:val="ConsPlusNormal"/>
        <w:spacing w:before="220"/>
        <w:ind w:firstLine="540"/>
        <w:jc w:val="both"/>
      </w:pPr>
      <w:r>
        <w:t>Проект планировки территории является основой для разработки проекта межевания территории. Документация по планировке территории является основанием для последующей подготовки проектной документации и осуществления строительства.</w:t>
      </w:r>
    </w:p>
    <w:p w:rsidR="00D61A60" w:rsidRDefault="00D61A60">
      <w:pPr>
        <w:pStyle w:val="ConsPlusNormal"/>
        <w:spacing w:before="220"/>
        <w:ind w:firstLine="540"/>
        <w:jc w:val="both"/>
      </w:pPr>
      <w:r>
        <w:t>Материалы утвержденного проекта планировки являются основой для выноса на местность красных линий, линий регулирования застройки, границ земельных участков, а также должны учитываться при разработке проектов межевания территорий и последующих стадий архитектурно-строительного проектирования и строительства отдельных объектов.</w:t>
      </w:r>
    </w:p>
    <w:p w:rsidR="00D61A60" w:rsidRDefault="00D61A60">
      <w:pPr>
        <w:pStyle w:val="ConsPlusNormal"/>
        <w:spacing w:before="220"/>
        <w:ind w:firstLine="540"/>
        <w:jc w:val="both"/>
      </w:pPr>
      <w:proofErr w:type="gramStart"/>
      <w:r>
        <w:t xml:space="preserve">Архитектурно-строительное проектирование осуществляется с учетом положений настоящего проекта планировки территории в соответствии с требованиями технических регламентов, региональных </w:t>
      </w:r>
      <w:hyperlink r:id="rId16">
        <w:r>
          <w:rPr>
            <w:color w:val="0000FF"/>
          </w:rPr>
          <w:t>нормативов</w:t>
        </w:r>
      </w:hyperlink>
      <w:r>
        <w:t xml:space="preserve"> градостроительного проектирования "Планировка жилых, общественно-деловых и рекреационных зон населенных пунктов Воронежской области", утвержденных приказом управления архитектуры и градостроительства Воронежской области от 17 апреля 2008 года N 9-п "Об утверждении регионального норматива градостроительного проектирования" (далее - региональный градостроительный норматив), и местного </w:t>
      </w:r>
      <w:hyperlink r:id="rId17">
        <w:r>
          <w:rPr>
            <w:color w:val="0000FF"/>
          </w:rPr>
          <w:t>норматива</w:t>
        </w:r>
      </w:hyperlink>
      <w:r>
        <w:t xml:space="preserve"> градостроительного проектирования</w:t>
      </w:r>
      <w:proofErr w:type="gramEnd"/>
      <w:r>
        <w:t xml:space="preserve"> "Планировка жилых, общественно-деловых и рекреационных зон городского округа город Воронеж", утвержденного постановлением администрации городского округа город Воронеж от 26 июля 2010 года N 650 "Об утверждении местного норматива градостроительного проектирования "Планировка жилых, общественно-деловых и рекреационных зон городского округа город Воронеж" (далее - местный градостроительный норматив).</w:t>
      </w:r>
    </w:p>
    <w:p w:rsidR="00D61A60" w:rsidRDefault="00D61A60">
      <w:pPr>
        <w:pStyle w:val="ConsPlusNormal"/>
        <w:ind w:firstLine="540"/>
        <w:jc w:val="both"/>
      </w:pPr>
    </w:p>
    <w:p w:rsidR="00D61A60" w:rsidRDefault="00D61A60">
      <w:pPr>
        <w:pStyle w:val="ConsPlusNormal"/>
        <w:jc w:val="center"/>
        <w:outlineLvl w:val="2"/>
      </w:pPr>
      <w:r>
        <w:t>II. Современное использование проектируемой территории</w:t>
      </w:r>
    </w:p>
    <w:p w:rsidR="00D61A60" w:rsidRDefault="00D61A60">
      <w:pPr>
        <w:pStyle w:val="ConsPlusNormal"/>
        <w:jc w:val="center"/>
      </w:pPr>
    </w:p>
    <w:p w:rsidR="00D61A60" w:rsidRDefault="00D61A60">
      <w:pPr>
        <w:pStyle w:val="ConsPlusNormal"/>
        <w:ind w:firstLine="540"/>
        <w:jc w:val="both"/>
      </w:pPr>
      <w:r>
        <w:t xml:space="preserve">Проектируемая территория микрорайона, ограниченная улицами: </w:t>
      </w:r>
      <w:proofErr w:type="gramStart"/>
      <w:r>
        <w:t>Ленинский проспект, Арзамасская, МОПРа, пер. Заречный, площадью 12,4010 га расположена в Левобережном районе городского округа город Воронеж в границах общегородского центра в зоне жилой застройки.</w:t>
      </w:r>
      <w:proofErr w:type="gramEnd"/>
      <w:r>
        <w:t xml:space="preserve"> На территории расположена в основном смешанная жилая застройка этажностью от 1 до 13 этажей. Общий характер территории определяется сохранностью значительной части исторически сложившейся планировочной структуры, элементов ландшафта и наличием разнообразной по времени, стилю и масштабу застройки. Транспортная связь с городским центром осуществляется по улице Ленинский проспект, через Чернавский мост и далее по улице Степана Разина и по магистральной улице центра - проспекту Революции.</w:t>
      </w:r>
    </w:p>
    <w:p w:rsidR="00D61A60" w:rsidRDefault="00D61A60">
      <w:pPr>
        <w:pStyle w:val="ConsPlusNormal"/>
        <w:spacing w:before="220"/>
        <w:ind w:firstLine="540"/>
        <w:jc w:val="both"/>
      </w:pPr>
      <w:r>
        <w:t xml:space="preserve">Генеральным </w:t>
      </w:r>
      <w:hyperlink r:id="rId18">
        <w:r>
          <w:rPr>
            <w:color w:val="0000FF"/>
          </w:rPr>
          <w:t>планом</w:t>
        </w:r>
      </w:hyperlink>
      <w:r>
        <w:t xml:space="preserve"> городского округа город Воронеж планируемая территория определена как жилая зона многоэтажной застройки, этажностью 7 этажей и выше.</w:t>
      </w:r>
    </w:p>
    <w:p w:rsidR="00D61A60" w:rsidRDefault="00D61A60">
      <w:pPr>
        <w:pStyle w:val="ConsPlusNormal"/>
        <w:spacing w:before="220"/>
        <w:ind w:firstLine="540"/>
        <w:jc w:val="both"/>
      </w:pPr>
      <w:r>
        <w:t>Согласно схемам территориального планирования Российской Федерации и схемам территориального планирования субъектов Российской Федерации строительство объектов федерального, регионального и местного значения на данной территории не предполагается.</w:t>
      </w:r>
    </w:p>
    <w:p w:rsidR="00D61A60" w:rsidRDefault="00D61A60">
      <w:pPr>
        <w:pStyle w:val="ConsPlusNormal"/>
        <w:spacing w:before="220"/>
        <w:ind w:firstLine="540"/>
        <w:jc w:val="both"/>
      </w:pPr>
      <w:r>
        <w:t>Объекты культурного наследия в границах проектируемой территории отсутствуют.</w:t>
      </w:r>
    </w:p>
    <w:p w:rsidR="00D61A60" w:rsidRDefault="00D61A60">
      <w:pPr>
        <w:pStyle w:val="ConsPlusNormal"/>
        <w:spacing w:before="220"/>
        <w:ind w:firstLine="540"/>
        <w:jc w:val="both"/>
      </w:pPr>
      <w:r>
        <w:t>Жилищный фонд на данной территории в основном оборудован водопроводом, канализацией, газом, отоплением и горячим водоснабжением, отопление и горячее водоснабжение в индивидуальной частной застройке осуществляется бытовыми газовыми приборами.</w:t>
      </w:r>
    </w:p>
    <w:p w:rsidR="00D61A60" w:rsidRDefault="00D61A60">
      <w:pPr>
        <w:pStyle w:val="ConsPlusNormal"/>
        <w:spacing w:before="220"/>
        <w:ind w:firstLine="540"/>
        <w:jc w:val="both"/>
      </w:pPr>
      <w:r>
        <w:t>На момент подготовки проекта планировки процент застроенности территории составляет 22%, плотность жилой застройки - 10862,7 тыс. кв. м/</w:t>
      </w:r>
      <w:proofErr w:type="gramStart"/>
      <w:r>
        <w:t>га</w:t>
      </w:r>
      <w:proofErr w:type="gramEnd"/>
      <w:r>
        <w:t>, общая жилая площадь - 98034,4 кв. м.</w:t>
      </w:r>
    </w:p>
    <w:p w:rsidR="00D61A60" w:rsidRDefault="00D61A60">
      <w:pPr>
        <w:pStyle w:val="ConsPlusNormal"/>
        <w:spacing w:before="220"/>
        <w:ind w:firstLine="540"/>
        <w:jc w:val="both"/>
      </w:pPr>
      <w:r>
        <w:lastRenderedPageBreak/>
        <w:t>На рассматриваемой территории установлены границы земельных участков, на которых расположены объекты капитального строительства. Земельные участки, предоставленные в частную собственность, составляют 23%, 77% составляют земли, государственная собственность на которые не разграничена.</w:t>
      </w:r>
    </w:p>
    <w:p w:rsidR="00D61A60" w:rsidRDefault="00D61A60">
      <w:pPr>
        <w:pStyle w:val="ConsPlusNormal"/>
        <w:spacing w:before="220"/>
        <w:ind w:firstLine="540"/>
        <w:jc w:val="both"/>
      </w:pPr>
      <w:r>
        <w:t>На планируемой территории расположены объекты социальной инфраструктуры:</w:t>
      </w:r>
    </w:p>
    <w:p w:rsidR="00D61A60" w:rsidRDefault="00D61A60">
      <w:pPr>
        <w:pStyle w:val="ConsPlusNormal"/>
        <w:spacing w:before="220"/>
        <w:ind w:firstLine="540"/>
        <w:jc w:val="both"/>
      </w:pPr>
      <w:r>
        <w:t>- эпизодического обслуживания: медицинский центр и административное здание банка;</w:t>
      </w:r>
    </w:p>
    <w:p w:rsidR="00D61A60" w:rsidRDefault="00D61A60">
      <w:pPr>
        <w:pStyle w:val="ConsPlusNormal"/>
        <w:spacing w:before="220"/>
        <w:ind w:firstLine="540"/>
        <w:jc w:val="both"/>
      </w:pPr>
      <w:r>
        <w:t>- повседневного обслуживания: продовольственные магазины, аптечные пункты расположены на первых этажах жилых зданий.</w:t>
      </w:r>
    </w:p>
    <w:p w:rsidR="00D61A60" w:rsidRDefault="00D61A60">
      <w:pPr>
        <w:pStyle w:val="ConsPlusNormal"/>
        <w:spacing w:before="220"/>
        <w:ind w:firstLine="540"/>
        <w:jc w:val="both"/>
      </w:pPr>
      <w:r>
        <w:t>В пешеходной доступности от планируемой территории расположены детские сады и общеобразовательные школы. Фактически количество детей, посещающих детские дошкольные учреждения, расположенные в пешеходной доступности от планируемой территории, превышает нормативный показатель.</w:t>
      </w:r>
    </w:p>
    <w:p w:rsidR="00D61A60" w:rsidRDefault="00D61A60">
      <w:pPr>
        <w:pStyle w:val="ConsPlusNormal"/>
        <w:spacing w:before="220"/>
        <w:ind w:firstLine="540"/>
        <w:jc w:val="both"/>
      </w:pPr>
      <w:r>
        <w:t>Комплексная оценка территории позволяет определить ряд направлений по ее развитию:</w:t>
      </w:r>
    </w:p>
    <w:p w:rsidR="00D61A60" w:rsidRDefault="00D61A60">
      <w:pPr>
        <w:pStyle w:val="ConsPlusNormal"/>
        <w:spacing w:before="220"/>
        <w:ind w:firstLine="540"/>
        <w:jc w:val="both"/>
      </w:pPr>
      <w:r>
        <w:t>1. Формирование современной застройки с полным инженерным обеспечением.</w:t>
      </w:r>
    </w:p>
    <w:p w:rsidR="00D61A60" w:rsidRDefault="00D61A60">
      <w:pPr>
        <w:pStyle w:val="ConsPlusNormal"/>
        <w:spacing w:before="220"/>
        <w:ind w:firstLine="540"/>
        <w:jc w:val="both"/>
      </w:pPr>
      <w:r>
        <w:t>2. Уменьшение доли физически и морально устаревшего жилищного фонда послевоенных лет постройки.</w:t>
      </w:r>
    </w:p>
    <w:p w:rsidR="00D61A60" w:rsidRDefault="00D61A60">
      <w:pPr>
        <w:pStyle w:val="ConsPlusNormal"/>
        <w:spacing w:before="220"/>
        <w:ind w:firstLine="540"/>
        <w:jc w:val="both"/>
      </w:pPr>
      <w:r>
        <w:t>3. Повышение эффективности использования городской территории за счет повышения плотности застройки.</w:t>
      </w:r>
    </w:p>
    <w:p w:rsidR="00D61A60" w:rsidRDefault="00D61A60">
      <w:pPr>
        <w:pStyle w:val="ConsPlusNormal"/>
        <w:ind w:firstLine="540"/>
        <w:jc w:val="both"/>
      </w:pPr>
    </w:p>
    <w:p w:rsidR="00D61A60" w:rsidRDefault="00D61A60">
      <w:pPr>
        <w:pStyle w:val="ConsPlusNormal"/>
        <w:jc w:val="center"/>
        <w:outlineLvl w:val="2"/>
      </w:pPr>
      <w:r>
        <w:t>III. Основные направления развития</w:t>
      </w:r>
    </w:p>
    <w:p w:rsidR="00D61A60" w:rsidRDefault="00D61A60">
      <w:pPr>
        <w:pStyle w:val="ConsPlusNormal"/>
        <w:jc w:val="center"/>
      </w:pPr>
      <w:r>
        <w:t>архитектурно-планировочной и функционально-пространственной</w:t>
      </w:r>
    </w:p>
    <w:p w:rsidR="00D61A60" w:rsidRDefault="00D61A60">
      <w:pPr>
        <w:pStyle w:val="ConsPlusNormal"/>
        <w:jc w:val="center"/>
      </w:pPr>
      <w:r>
        <w:t>структуры территории</w:t>
      </w:r>
    </w:p>
    <w:p w:rsidR="00D61A60" w:rsidRDefault="00D61A60">
      <w:pPr>
        <w:pStyle w:val="ConsPlusNormal"/>
        <w:jc w:val="center"/>
      </w:pPr>
    </w:p>
    <w:p w:rsidR="00D61A60" w:rsidRDefault="00D61A60">
      <w:pPr>
        <w:pStyle w:val="ConsPlusNormal"/>
        <w:ind w:firstLine="540"/>
        <w:jc w:val="both"/>
      </w:pPr>
      <w:proofErr w:type="gramStart"/>
      <w:r>
        <w:t xml:space="preserve">Основные решения по развитию территории приняты с учетом установленных </w:t>
      </w:r>
      <w:hyperlink r:id="rId19">
        <w:r>
          <w:rPr>
            <w:color w:val="0000FF"/>
          </w:rPr>
          <w:t>Правилами</w:t>
        </w:r>
      </w:hyperlink>
      <w:r>
        <w:t xml:space="preserve"> землепользования и застройки ограничений использования земельных участков и объектов капитального строительства, а именно природно-экологических факторов - водоохранная зона водохранилища и техногенных факторов - зона воздушных подходов аэродромов.</w:t>
      </w:r>
      <w:proofErr w:type="gramEnd"/>
    </w:p>
    <w:p w:rsidR="00D61A60" w:rsidRDefault="00D61A60">
      <w:pPr>
        <w:pStyle w:val="ConsPlusNormal"/>
        <w:spacing w:before="220"/>
        <w:ind w:firstLine="540"/>
        <w:jc w:val="both"/>
      </w:pPr>
      <w:r>
        <w:t>Согласно заключению ОАО "ВАСО" от 27.10.2011 комиссия по согласованию строительства в пределах приаэродромной территор</w:t>
      </w:r>
      <w:proofErr w:type="gramStart"/>
      <w:r>
        <w:t>ии аэ</w:t>
      </w:r>
      <w:proofErr w:type="gramEnd"/>
      <w:r>
        <w:t>родрома Воронеж (Придача) считает возможным согласование строительства жилых домов в границах планируемой территории, при следующих условиях:</w:t>
      </w:r>
    </w:p>
    <w:p w:rsidR="00D61A60" w:rsidRDefault="00D61A60">
      <w:pPr>
        <w:pStyle w:val="ConsPlusNormal"/>
        <w:spacing w:before="220"/>
        <w:ind w:firstLine="540"/>
        <w:jc w:val="both"/>
      </w:pPr>
      <w:r>
        <w:t>- высота строений не должна превышать 60 метров;</w:t>
      </w:r>
    </w:p>
    <w:p w:rsidR="00D61A60" w:rsidRDefault="00D61A60">
      <w:pPr>
        <w:pStyle w:val="ConsPlusNormal"/>
        <w:spacing w:before="220"/>
        <w:ind w:firstLine="540"/>
        <w:jc w:val="both"/>
      </w:pPr>
      <w:r>
        <w:t>- на верхних точках зданий жилых домов необходимо установить по два огня;</w:t>
      </w:r>
    </w:p>
    <w:p w:rsidR="00D61A60" w:rsidRDefault="00D61A60">
      <w:pPr>
        <w:pStyle w:val="ConsPlusNormal"/>
        <w:spacing w:before="220"/>
        <w:ind w:firstLine="540"/>
        <w:jc w:val="both"/>
      </w:pPr>
      <w:r>
        <w:t>- эксплуатация заградительных огней возлагается на собственников здания;</w:t>
      </w:r>
    </w:p>
    <w:p w:rsidR="00D61A60" w:rsidRDefault="00D61A60">
      <w:pPr>
        <w:pStyle w:val="ConsPlusNormal"/>
        <w:spacing w:before="220"/>
        <w:ind w:firstLine="540"/>
        <w:jc w:val="both"/>
      </w:pPr>
      <w:r>
        <w:t>- запрещается размещение радиотехнических средств и антенн на зданиях.</w:t>
      </w:r>
    </w:p>
    <w:p w:rsidR="00D61A60" w:rsidRDefault="00D61A60">
      <w:pPr>
        <w:pStyle w:val="ConsPlusNormal"/>
        <w:spacing w:before="220"/>
        <w:ind w:firstLine="540"/>
        <w:jc w:val="both"/>
      </w:pPr>
      <w:r>
        <w:t xml:space="preserve">Проект планировки территории представлен одним элементом планировочной структуры - жилым микрорайоном площадью 12,4 га, ограниченной улицами: Ленинский проспект, </w:t>
      </w:r>
      <w:proofErr w:type="gramStart"/>
      <w:r>
        <w:t>Арзамасская</w:t>
      </w:r>
      <w:proofErr w:type="gramEnd"/>
      <w:r>
        <w:t>, МОПРа и пер. Заречный.</w:t>
      </w:r>
    </w:p>
    <w:p w:rsidR="00D61A60" w:rsidRDefault="00D61A60">
      <w:pPr>
        <w:pStyle w:val="ConsPlusNormal"/>
        <w:spacing w:before="220"/>
        <w:ind w:firstLine="540"/>
        <w:jc w:val="both"/>
      </w:pPr>
      <w:r>
        <w:t xml:space="preserve">Структуру территории жилого квартала составят: зона существующей среднеэтажной и многоэтажной жилой застройки, зона планируемого размещения многоэтажной жилой застройки, зона планируемого размещения объекта дошкольного образования, зона существующих зеленых </w:t>
      </w:r>
      <w:r>
        <w:lastRenderedPageBreak/>
        <w:t>насаждений:</w:t>
      </w:r>
    </w:p>
    <w:p w:rsidR="00D61A60" w:rsidRDefault="00D61A60">
      <w:pPr>
        <w:pStyle w:val="ConsPlusNormal"/>
        <w:spacing w:before="220"/>
        <w:ind w:firstLine="540"/>
        <w:jc w:val="both"/>
      </w:pPr>
      <w:r>
        <w:t>- зоны существующей среднеэтажной и многоэтажной жилой застройки включает в себя: участок площадью 8,69 га, на котором расположены среднеэтажные и многоэтажные жилые дома общей площадью - 98034,4 кв. м. Ориентировочная численность населения существующего жилого фонда при средней жилищной обеспеченности 30 кв. м на человека составит 3267 человека;</w:t>
      </w:r>
    </w:p>
    <w:p w:rsidR="00D61A60" w:rsidRDefault="00D61A60">
      <w:pPr>
        <w:pStyle w:val="ConsPlusNormal"/>
        <w:spacing w:before="220"/>
        <w:ind w:firstLine="540"/>
        <w:jc w:val="both"/>
      </w:pPr>
      <w:r>
        <w:t>- зона планируемого размещения многоэтажной жилой застройки включает в себя земельный участок площадью 2,7 га, фактически занимаемый индивидуальными жилыми домами. Развитие планируемой территории возможно за счет сноса устаревшего жилого фонда индивидуальной жилой застройки, повышения плотности застройки и строительства современной застройки с полным инженерным обеспечением. В условиях реконструкции существующей застройки плотность застройки допускается повышать, но не более чем на 30% при соблюдении санитарно-гигиенических и противопожарных норм.</w:t>
      </w:r>
    </w:p>
    <w:p w:rsidR="00D61A60" w:rsidRDefault="00D61A60">
      <w:pPr>
        <w:pStyle w:val="ConsPlusNormal"/>
        <w:spacing w:before="220"/>
        <w:ind w:firstLine="540"/>
        <w:jc w:val="both"/>
      </w:pPr>
      <w:r>
        <w:t>Общая площадь осваиваемых территорий под жилищное строительство составит 2,7 га. Убыль существующего жилищного фонда на реконструируемых территориях предполагается в объеме 4931,2 кв. м общей жилой площади.</w:t>
      </w:r>
    </w:p>
    <w:p w:rsidR="00D61A60" w:rsidRDefault="00D61A60">
      <w:pPr>
        <w:pStyle w:val="ConsPlusNormal"/>
        <w:spacing w:before="220"/>
        <w:ind w:firstLine="540"/>
        <w:jc w:val="both"/>
      </w:pPr>
      <w:r>
        <w:t xml:space="preserve">На земельном участке площадью 2,7 га при максимальной плотности застройки 32500 кв. м/га (25000 кв. м/га + 30%) планируется строительство многоэтажной многоквартирной застройки этажностью 10 - 13 - 17 этажей площадью застройки 6750 кв. м (25% застроенности территории участка). Общая площадь жилой застройки (фонд) нового строительства составит 87750 кв. м, общая площадь квартир составит 65812 кв. м, с учетом жилищной обеспеченности 30 кв. м/чел. население нового жилого фонда составит 2193 человека, количество квартир - 731. На первых этажах жилых зданий планируется размещение помещений общественного назначения, которые должны иметь входы, изолированные от жилой части здания. Показатели по застройке приняты из укрупненных расчетов. Данные значения будут скорректированы при разработке </w:t>
      </w:r>
      <w:proofErr w:type="gramStart"/>
      <w:r>
        <w:t>индивидуальных проектов</w:t>
      </w:r>
      <w:proofErr w:type="gramEnd"/>
      <w:r>
        <w:t xml:space="preserve"> зданий и сооружений. Каждый </w:t>
      </w:r>
      <w:proofErr w:type="gramStart"/>
      <w:r>
        <w:t>индивидуальный проект</w:t>
      </w:r>
      <w:proofErr w:type="gramEnd"/>
      <w:r>
        <w:t xml:space="preserve"> должен пройти согласование в установленном порядке. Очередность строительства определить при дальнейшем проектировании;</w:t>
      </w:r>
    </w:p>
    <w:p w:rsidR="00D61A60" w:rsidRDefault="00D61A60">
      <w:pPr>
        <w:pStyle w:val="ConsPlusNormal"/>
        <w:spacing w:before="220"/>
        <w:ind w:firstLine="540"/>
        <w:jc w:val="both"/>
      </w:pPr>
      <w:r>
        <w:t xml:space="preserve">- зона планируемого размещения объекта дошкольного образования включает в себя земельный участок площадью 0,81 га, фактически занимаемый индивидуальными жилыми домами. В настоящее время позиция под детский сад, предусмотренная проектом застройки 1 микрорайона 23 жилого района в III градостроительном комплексе Левобережного района, осталась нереализованной. </w:t>
      </w:r>
      <w:proofErr w:type="gramStart"/>
      <w:r>
        <w:t>При этом потребность жителей данного микрорайона в этом объекте социального обслуживания в соответствии с требованиями нормативов градостроительного проектирования на данный момент</w:t>
      </w:r>
      <w:proofErr w:type="gramEnd"/>
      <w:r>
        <w:t xml:space="preserve"> не обеспечена. Таким образом, проектируемый к размещению в рассматриваемом микрорайоне детский сад позволит значительно улучшить обеспечение населения микрорайона социально значимыми объектами.</w:t>
      </w:r>
    </w:p>
    <w:p w:rsidR="00D61A60" w:rsidRDefault="00D61A60">
      <w:pPr>
        <w:pStyle w:val="ConsPlusNormal"/>
        <w:spacing w:before="220"/>
        <w:ind w:firstLine="540"/>
        <w:jc w:val="both"/>
      </w:pPr>
      <w:r>
        <w:t>Планируемый земельный участок для проектирования и строительства детского сада на 280 мест имеет площадь 0,81 га, что соответствует требованиям, установленным к земельным участкам для детских садов (дошкольных образовательных учреждений);</w:t>
      </w:r>
    </w:p>
    <w:p w:rsidR="00D61A60" w:rsidRDefault="00D61A60">
      <w:pPr>
        <w:pStyle w:val="ConsPlusNormal"/>
        <w:spacing w:before="220"/>
        <w:ind w:firstLine="540"/>
        <w:jc w:val="both"/>
      </w:pPr>
      <w:r>
        <w:t>- зона зеленых насаждений включает в себя земельный участок площадью 0,2 га, фактически занимаемый зелеными насаждениями бульвара по ул. Арзамасской.</w:t>
      </w:r>
    </w:p>
    <w:p w:rsidR="00D61A60" w:rsidRDefault="00D61A60">
      <w:pPr>
        <w:pStyle w:val="ConsPlusNormal"/>
        <w:ind w:firstLine="540"/>
        <w:jc w:val="both"/>
      </w:pPr>
    </w:p>
    <w:p w:rsidR="00D61A60" w:rsidRDefault="00D61A60">
      <w:pPr>
        <w:pStyle w:val="ConsPlusNormal"/>
        <w:jc w:val="center"/>
        <w:outlineLvl w:val="2"/>
      </w:pPr>
      <w:r>
        <w:t>IV. Основные направления инженерной подготовки территории</w:t>
      </w:r>
    </w:p>
    <w:p w:rsidR="00D61A60" w:rsidRDefault="00D61A60">
      <w:pPr>
        <w:pStyle w:val="ConsPlusNormal"/>
        <w:jc w:val="center"/>
      </w:pPr>
    </w:p>
    <w:p w:rsidR="00D61A60" w:rsidRDefault="00D61A60">
      <w:pPr>
        <w:pStyle w:val="ConsPlusNormal"/>
        <w:ind w:firstLine="540"/>
        <w:jc w:val="both"/>
      </w:pPr>
      <w:r>
        <w:t xml:space="preserve">Рельеф на территории квартала спокойный, с небольшим уклоном в сторону водохранилища. Организация рельефа территории осуществляется с учетом существующих инженерных сетей, естественного отвода поверхностных вод и минимального объема земляных </w:t>
      </w:r>
      <w:r>
        <w:lastRenderedPageBreak/>
        <w:t>работ.</w:t>
      </w:r>
    </w:p>
    <w:p w:rsidR="00D61A60" w:rsidRDefault="00D61A60">
      <w:pPr>
        <w:pStyle w:val="ConsPlusNormal"/>
        <w:spacing w:before="220"/>
        <w:ind w:firstLine="540"/>
        <w:jc w:val="both"/>
      </w:pPr>
      <w:r>
        <w:t xml:space="preserve">Для отвода поверхностного стока дождевых и талых вод с планируемой территории </w:t>
      </w:r>
      <w:proofErr w:type="gramStart"/>
      <w:r>
        <w:t>планируется строительство ливневой канализации с подключением в ближайшие сети существующей ливневой канализации D = 2000 мм по пер</w:t>
      </w:r>
      <w:proofErr w:type="gramEnd"/>
      <w:r>
        <w:t>. Ольховому.</w:t>
      </w:r>
    </w:p>
    <w:p w:rsidR="00D61A60" w:rsidRDefault="00D61A60">
      <w:pPr>
        <w:pStyle w:val="ConsPlusNormal"/>
        <w:spacing w:before="220"/>
        <w:ind w:firstLine="540"/>
        <w:jc w:val="both"/>
      </w:pPr>
      <w:r>
        <w:t>Схема вертикальной планировки осуществлена методом отметок, которые наносятся на геодезическую подоснову с показанными на ней улицами, проездами, зданиями и площадками. При составлении схемы вертикальной планировки определяются отметки существующего рельефа и проектные отметки в точках пересечения осей улиц и в местах резкого изменения рельефа, закладываются проектные продольные уклоны. Величина уклонов в пределах допустимых по СНиП 2.07.01-89*.</w:t>
      </w:r>
    </w:p>
    <w:p w:rsidR="00D61A60" w:rsidRDefault="00D61A60">
      <w:pPr>
        <w:pStyle w:val="ConsPlusNormal"/>
        <w:spacing w:before="220"/>
        <w:ind w:firstLine="540"/>
        <w:jc w:val="both"/>
      </w:pPr>
      <w:r>
        <w:t xml:space="preserve">Вертикальной планировкой участка определены уклоны по улицам: Ленинский проспект, </w:t>
      </w:r>
      <w:proofErr w:type="gramStart"/>
      <w:r>
        <w:t>Арзамасская</w:t>
      </w:r>
      <w:proofErr w:type="gramEnd"/>
      <w:r>
        <w:t>, МОПРа и пер. Заречный, планируемые отметки максимально приближены к существующим.</w:t>
      </w:r>
    </w:p>
    <w:p w:rsidR="00D61A60" w:rsidRDefault="00D61A60">
      <w:pPr>
        <w:pStyle w:val="ConsPlusNormal"/>
        <w:spacing w:before="220"/>
        <w:ind w:firstLine="540"/>
        <w:jc w:val="both"/>
      </w:pPr>
      <w:r>
        <w:t>Планируемая территория в основном имеет благоприятные условия для строительства, но для защиты подземных сооружений проектом предусматривается понижение уровня грунтовых вод в зоне капитальной застройки путем устройства закрытых дренажей. Плановое положение, конструкция дренажа, гидрологические и гидравлические расчеты будут отражены подробно на последующих стадиях проектирования.</w:t>
      </w:r>
    </w:p>
    <w:p w:rsidR="00D61A60" w:rsidRDefault="00D61A60">
      <w:pPr>
        <w:pStyle w:val="ConsPlusNormal"/>
        <w:ind w:firstLine="540"/>
        <w:jc w:val="both"/>
      </w:pPr>
    </w:p>
    <w:p w:rsidR="00D61A60" w:rsidRDefault="00D61A60">
      <w:pPr>
        <w:pStyle w:val="ConsPlusNormal"/>
        <w:jc w:val="center"/>
        <w:outlineLvl w:val="2"/>
      </w:pPr>
      <w:r>
        <w:t>V. Основные направления развития инженерно-технического</w:t>
      </w:r>
    </w:p>
    <w:p w:rsidR="00D61A60" w:rsidRDefault="00D61A60">
      <w:pPr>
        <w:pStyle w:val="ConsPlusNormal"/>
        <w:jc w:val="center"/>
      </w:pPr>
      <w:r>
        <w:t>обеспечения территории</w:t>
      </w:r>
    </w:p>
    <w:p w:rsidR="00D61A60" w:rsidRDefault="00D61A60">
      <w:pPr>
        <w:pStyle w:val="ConsPlusNormal"/>
        <w:jc w:val="center"/>
      </w:pPr>
    </w:p>
    <w:p w:rsidR="00D61A60" w:rsidRDefault="00D61A60">
      <w:pPr>
        <w:pStyle w:val="ConsPlusNormal"/>
        <w:ind w:firstLine="540"/>
        <w:jc w:val="both"/>
      </w:pPr>
      <w:r>
        <w:t xml:space="preserve">Решения по развитию инженерной инфраструктуры в границах проекта планировки территории приняты с учетом общей схемы развития объектов инженерной инфраструктуры, утвержденной в составе Генерального </w:t>
      </w:r>
      <w:hyperlink r:id="rId20">
        <w:r>
          <w:rPr>
            <w:color w:val="0000FF"/>
          </w:rPr>
          <w:t>плана</w:t>
        </w:r>
      </w:hyperlink>
      <w:r>
        <w:t>. Границами технических зон инженерных коммуникаций являются красные линии улично-дорожной сети.</w:t>
      </w:r>
    </w:p>
    <w:p w:rsidR="00D61A60" w:rsidRDefault="00D61A60">
      <w:pPr>
        <w:pStyle w:val="ConsPlusNormal"/>
        <w:ind w:firstLine="540"/>
        <w:jc w:val="both"/>
      </w:pPr>
    </w:p>
    <w:p w:rsidR="00D61A60" w:rsidRDefault="00D61A60">
      <w:pPr>
        <w:pStyle w:val="ConsPlusNormal"/>
        <w:jc w:val="center"/>
        <w:outlineLvl w:val="3"/>
      </w:pPr>
      <w:r>
        <w:t>Водоснабжение</w:t>
      </w:r>
    </w:p>
    <w:p w:rsidR="00D61A60" w:rsidRDefault="00D61A60">
      <w:pPr>
        <w:pStyle w:val="ConsPlusNormal"/>
        <w:jc w:val="center"/>
      </w:pPr>
    </w:p>
    <w:p w:rsidR="00D61A60" w:rsidRDefault="00D61A60">
      <w:pPr>
        <w:pStyle w:val="ConsPlusNormal"/>
        <w:ind w:firstLine="540"/>
        <w:jc w:val="both"/>
      </w:pPr>
      <w:r>
        <w:t>На новое жилищное строительство расход воды составляет 1305,6 куб. м в сутки, на детское дошкольное учреждение - 29,4 куб. м в сутки. Водоснабжение существующей и проектируемой застройки предусматривает централизованную кольцевую систему хозяйственно-противопожарного водоснабжения и осуществляется от существующих городских сетей, проходящих в границах проектируемой территории вдоль улицы МОПРа (D = 600). Для обеспечения водой многоэтажной жилой застройки и детского дошкольного учреждения необходимо запроектировать и построить отдельно стоящие повысительные насосные станции. Водоснабжение проектируемых жилых домов и детского сада осуществить от напорных сетей вновь построенных ПНС.</w:t>
      </w:r>
    </w:p>
    <w:p w:rsidR="00D61A60" w:rsidRDefault="00D61A60">
      <w:pPr>
        <w:pStyle w:val="ConsPlusNormal"/>
        <w:ind w:firstLine="540"/>
        <w:jc w:val="both"/>
      </w:pPr>
    </w:p>
    <w:p w:rsidR="00D61A60" w:rsidRDefault="00D61A60">
      <w:pPr>
        <w:pStyle w:val="ConsPlusNormal"/>
        <w:jc w:val="center"/>
        <w:outlineLvl w:val="3"/>
      </w:pPr>
      <w:r>
        <w:t>Водоотведение</w:t>
      </w:r>
    </w:p>
    <w:p w:rsidR="00D61A60" w:rsidRDefault="00D61A60">
      <w:pPr>
        <w:pStyle w:val="ConsPlusNormal"/>
        <w:jc w:val="center"/>
      </w:pPr>
    </w:p>
    <w:p w:rsidR="00D61A60" w:rsidRDefault="00D61A60">
      <w:pPr>
        <w:pStyle w:val="ConsPlusNormal"/>
        <w:ind w:firstLine="540"/>
        <w:jc w:val="both"/>
      </w:pPr>
      <w:proofErr w:type="gramStart"/>
      <w:r>
        <w:t>Отвод сточных вод жилых зданий существующих и планируемых в границах проектируемой территории осуществляется в существующие сети канализации, проходящие по ул. МОПРа, ул. Арзамасская и пер. Заречный (d - 200 мм, d - 300 мм), и далее в главный коллектор 2000 мм с отведением стоков на левобережные очистные сооружения, где проводится полная механическая и биологическая очистка.</w:t>
      </w:r>
      <w:proofErr w:type="gramEnd"/>
      <w:r>
        <w:t xml:space="preserve"> Подключение проектируемых жилых домов к сетям инженерно-технического обеспечения возможно только после осуществления мероприятий по увеличению мощностей и пропускной способности существующих систем. Для этого необходимо запроектировать и проложить канализационный коллектор d - 600 мм </w:t>
      </w:r>
      <w:proofErr w:type="gramStart"/>
      <w:r>
        <w:t>вместо</w:t>
      </w:r>
      <w:proofErr w:type="gramEnd"/>
      <w:r>
        <w:t xml:space="preserve"> </w:t>
      </w:r>
      <w:proofErr w:type="gramStart"/>
      <w:r>
        <w:t>к</w:t>
      </w:r>
      <w:proofErr w:type="gramEnd"/>
      <w:r>
        <w:t xml:space="preserve">/линий d - 200 мм, d - 300 мм от стройплощадок до главного левобережного коллектора 2000 мм с переключением </w:t>
      </w:r>
      <w:r>
        <w:lastRenderedPageBreak/>
        <w:t>всех существующих притоков.</w:t>
      </w:r>
    </w:p>
    <w:p w:rsidR="00D61A60" w:rsidRDefault="00D61A60">
      <w:pPr>
        <w:pStyle w:val="ConsPlusNormal"/>
        <w:ind w:firstLine="540"/>
        <w:jc w:val="both"/>
      </w:pPr>
    </w:p>
    <w:p w:rsidR="00D61A60" w:rsidRDefault="00D61A60">
      <w:pPr>
        <w:pStyle w:val="ConsPlusNormal"/>
        <w:jc w:val="center"/>
        <w:outlineLvl w:val="3"/>
      </w:pPr>
      <w:r>
        <w:t>Электроснабжение</w:t>
      </w:r>
    </w:p>
    <w:p w:rsidR="00D61A60" w:rsidRDefault="00D61A60">
      <w:pPr>
        <w:pStyle w:val="ConsPlusNormal"/>
        <w:jc w:val="center"/>
      </w:pPr>
    </w:p>
    <w:p w:rsidR="00D61A60" w:rsidRDefault="00D61A60">
      <w:pPr>
        <w:pStyle w:val="ConsPlusNormal"/>
        <w:ind w:firstLine="540"/>
        <w:jc w:val="both"/>
      </w:pPr>
      <w:r>
        <w:t>Источником электроснабжения существующих и проектируемых объектов в границах планируемой территории является ПС N 6 110/6 кВ. Расчет электрических нагрузок на новое строительство проведен в соответствии с нормативными требованиями и составляет 3505 кВт для жилой застройки. Техническая возможность подключения объекта к электрическим сетям ОАО "ВСК" имеется. Для обеспечения электроснабжением многоэтажной жилой застройки и детского дошкольного учреждения необходимо запроектировать и построить отдельно стоящие трансформаторные подстанции. Электроснабжение осуществлять от сетей вновь построенных трансформаторных подстанций.</w:t>
      </w:r>
    </w:p>
    <w:p w:rsidR="00D61A60" w:rsidRDefault="00D61A60">
      <w:pPr>
        <w:pStyle w:val="ConsPlusNormal"/>
        <w:ind w:firstLine="540"/>
        <w:jc w:val="both"/>
      </w:pPr>
    </w:p>
    <w:p w:rsidR="00D61A60" w:rsidRDefault="00D61A60">
      <w:pPr>
        <w:pStyle w:val="ConsPlusNormal"/>
        <w:jc w:val="center"/>
        <w:outlineLvl w:val="3"/>
      </w:pPr>
      <w:r>
        <w:t>Газоснабжение</w:t>
      </w:r>
    </w:p>
    <w:p w:rsidR="00D61A60" w:rsidRDefault="00D61A60">
      <w:pPr>
        <w:pStyle w:val="ConsPlusNormal"/>
        <w:jc w:val="center"/>
      </w:pPr>
    </w:p>
    <w:p w:rsidR="00D61A60" w:rsidRDefault="00D61A60">
      <w:pPr>
        <w:pStyle w:val="ConsPlusNormal"/>
        <w:ind w:firstLine="540"/>
        <w:jc w:val="both"/>
      </w:pPr>
      <w:r>
        <w:t>На планируемой территории газ используется на пищеприготовление и как топливо для теплоисточников. В многоэтажную застройку более 10 этажей газ на пищеприготовление не подается, в квартирах устанавливаются электроплиты. Отопление и горячее водоснабжение жилой застройки предусматривается централизованным от существующих котельных и теплосетей, идущих от ТЭЦ-1. Газопровод среднего давления проходит по Ленинскому проспекту.</w:t>
      </w:r>
    </w:p>
    <w:p w:rsidR="00D61A60" w:rsidRDefault="00D61A60">
      <w:pPr>
        <w:pStyle w:val="ConsPlusNormal"/>
        <w:ind w:firstLine="540"/>
        <w:jc w:val="both"/>
      </w:pPr>
    </w:p>
    <w:p w:rsidR="00D61A60" w:rsidRDefault="00D61A60">
      <w:pPr>
        <w:pStyle w:val="ConsPlusNormal"/>
        <w:jc w:val="center"/>
        <w:outlineLvl w:val="3"/>
      </w:pPr>
      <w:r>
        <w:t>Теплоснабжение</w:t>
      </w:r>
    </w:p>
    <w:p w:rsidR="00D61A60" w:rsidRDefault="00D61A60">
      <w:pPr>
        <w:pStyle w:val="ConsPlusNormal"/>
        <w:jc w:val="center"/>
      </w:pPr>
    </w:p>
    <w:p w:rsidR="00D61A60" w:rsidRDefault="00D61A60">
      <w:pPr>
        <w:pStyle w:val="ConsPlusNormal"/>
        <w:ind w:firstLine="540"/>
        <w:jc w:val="both"/>
      </w:pPr>
      <w:r>
        <w:t>Источниками теплоснабжения для существующей и планируемой застройки, расположенной в границах планируемой территории, является ТЭЦ-1. Тепловая нагрузка для нового строительства составит: на отопление - 3,417 Гкал/час, горячее водоснабжение - 1,658 Гкал/час. Подключение возможно к существующим теплосетям.</w:t>
      </w:r>
    </w:p>
    <w:p w:rsidR="00D61A60" w:rsidRDefault="00D61A60">
      <w:pPr>
        <w:pStyle w:val="ConsPlusNormal"/>
        <w:ind w:firstLine="540"/>
        <w:jc w:val="both"/>
      </w:pPr>
    </w:p>
    <w:p w:rsidR="00D61A60" w:rsidRDefault="00D61A60">
      <w:pPr>
        <w:pStyle w:val="ConsPlusNormal"/>
        <w:jc w:val="center"/>
        <w:outlineLvl w:val="2"/>
      </w:pPr>
      <w:r>
        <w:t>VI. Основные направления транспортного обслуживания</w:t>
      </w:r>
    </w:p>
    <w:p w:rsidR="00D61A60" w:rsidRDefault="00D61A60">
      <w:pPr>
        <w:pStyle w:val="ConsPlusNormal"/>
        <w:jc w:val="center"/>
      </w:pPr>
      <w:r>
        <w:t>территории</w:t>
      </w:r>
    </w:p>
    <w:p w:rsidR="00D61A60" w:rsidRDefault="00D61A60">
      <w:pPr>
        <w:pStyle w:val="ConsPlusNormal"/>
        <w:jc w:val="center"/>
      </w:pPr>
    </w:p>
    <w:p w:rsidR="00D61A60" w:rsidRDefault="00D61A60">
      <w:pPr>
        <w:pStyle w:val="ConsPlusNormal"/>
        <w:ind w:firstLine="540"/>
        <w:jc w:val="both"/>
      </w:pPr>
      <w:r>
        <w:t xml:space="preserve">Проект планировки сохраняет в своей основе исторически сложившуюся структуру улиц, заложенную на предыдущих этапах проектирования, учитывает природно-климатические и ландшафтные условия. Основой транспортной схемы планируемой территории является транспортная схема, утвержденная в составе Генерального </w:t>
      </w:r>
      <w:hyperlink r:id="rId21">
        <w:r>
          <w:rPr>
            <w:color w:val="0000FF"/>
          </w:rPr>
          <w:t>плана</w:t>
        </w:r>
      </w:hyperlink>
      <w:r>
        <w:t xml:space="preserve">. Проектом планировки используются наименования улиц, установленные на момент его подготовки. Ширина улиц в красных линиях определена с учетом санитарно-гигиенических требований в зависимости от категорий улиц и дорог, интенсивности движения транспорта и пешеходов, наличия технических полос для прокладки инженерных коммуникаций: </w:t>
      </w:r>
      <w:proofErr w:type="gramStart"/>
      <w:r>
        <w:t>Ленинский проспект - 50 м; ул. Арзамасская - 30 м; ул. МОПРа - 30 м; пер. Заречный - 25 м.</w:t>
      </w:r>
      <w:proofErr w:type="gramEnd"/>
    </w:p>
    <w:p w:rsidR="00D61A60" w:rsidRDefault="00D61A60">
      <w:pPr>
        <w:pStyle w:val="ConsPlusNormal"/>
        <w:spacing w:before="220"/>
        <w:ind w:firstLine="540"/>
        <w:jc w:val="both"/>
      </w:pPr>
      <w:r>
        <w:t xml:space="preserve">Основные пешеходные связи обеспечивают удобную пешеходную доступность объектов обслуживания, остановок общественного транспорта и зон отдыха. Проектом планировки территории предусматривается реконструкция существующих транспортных связей - расширение проезжей части по ул. МОПРа с устройством тротуаров и площадок для парковки автотранспорта и проезжей части по пер. </w:t>
      </w:r>
      <w:proofErr w:type="gramStart"/>
      <w:r>
        <w:t>Заречному</w:t>
      </w:r>
      <w:proofErr w:type="gramEnd"/>
      <w:r>
        <w:t>. Для планируемой жилой застройки необходимо размещение подземных автостоянок на 365 машино-мест. Площадь земельного участка необходимая для размещения одноуровневой подземной автостоянки, будет составлять 10950 кв. м.</w:t>
      </w:r>
    </w:p>
    <w:p w:rsidR="00D61A60" w:rsidRDefault="00D61A60">
      <w:pPr>
        <w:pStyle w:val="ConsPlusNormal"/>
        <w:ind w:firstLine="540"/>
        <w:jc w:val="both"/>
      </w:pPr>
    </w:p>
    <w:p w:rsidR="00D61A60" w:rsidRDefault="00D61A60">
      <w:pPr>
        <w:pStyle w:val="ConsPlusNormal"/>
        <w:jc w:val="center"/>
        <w:outlineLvl w:val="2"/>
      </w:pPr>
      <w:r>
        <w:t>VII. Характеристики планируемого развития территории</w:t>
      </w:r>
    </w:p>
    <w:p w:rsidR="00D61A60" w:rsidRDefault="00D61A60">
      <w:pPr>
        <w:pStyle w:val="ConsPlusNormal"/>
        <w:jc w:val="center"/>
      </w:pPr>
    </w:p>
    <w:p w:rsidR="00D61A60" w:rsidRDefault="00D61A60">
      <w:pPr>
        <w:pStyle w:val="ConsPlusNormal"/>
        <w:ind w:firstLine="540"/>
        <w:jc w:val="both"/>
      </w:pPr>
      <w:r>
        <w:t>Площадь проектируемой территории определена по красным линиям прилегающих улиц и составляет 12,4 га. Интенсивность использования территории жилого квартала:</w:t>
      </w:r>
    </w:p>
    <w:p w:rsidR="00D61A60" w:rsidRDefault="00D61A60">
      <w:pPr>
        <w:pStyle w:val="ConsPlusNormal"/>
        <w:spacing w:before="220"/>
        <w:ind w:firstLine="540"/>
        <w:jc w:val="both"/>
      </w:pPr>
      <w:r>
        <w:lastRenderedPageBreak/>
        <w:t>- процент застроенности территории составит 20%;</w:t>
      </w:r>
    </w:p>
    <w:p w:rsidR="00D61A60" w:rsidRDefault="00D61A60">
      <w:pPr>
        <w:pStyle w:val="ConsPlusNormal"/>
        <w:spacing w:before="220"/>
        <w:ind w:firstLine="540"/>
        <w:jc w:val="both"/>
      </w:pPr>
      <w:r>
        <w:t>- плотность жилой застройки - 15 тыс. кв. м/</w:t>
      </w:r>
      <w:proofErr w:type="gramStart"/>
      <w:r>
        <w:t>га</w:t>
      </w:r>
      <w:proofErr w:type="gramEnd"/>
      <w:r>
        <w:t>;</w:t>
      </w:r>
    </w:p>
    <w:p w:rsidR="00D61A60" w:rsidRDefault="00D61A60">
      <w:pPr>
        <w:pStyle w:val="ConsPlusNormal"/>
        <w:spacing w:before="220"/>
        <w:ind w:firstLine="540"/>
        <w:jc w:val="both"/>
      </w:pPr>
      <w:r>
        <w:t>- расчетная численность населения - 5460 чел.;</w:t>
      </w:r>
    </w:p>
    <w:p w:rsidR="00D61A60" w:rsidRDefault="00D61A60">
      <w:pPr>
        <w:pStyle w:val="ConsPlusNormal"/>
        <w:spacing w:before="220"/>
        <w:ind w:firstLine="540"/>
        <w:jc w:val="both"/>
      </w:pPr>
      <w:r>
        <w:t>- расчетная плотность - 440 чел./</w:t>
      </w:r>
      <w:proofErr w:type="gramStart"/>
      <w:r>
        <w:t>га</w:t>
      </w:r>
      <w:proofErr w:type="gramEnd"/>
      <w:r>
        <w:t>.</w:t>
      </w:r>
    </w:p>
    <w:p w:rsidR="00D61A60" w:rsidRDefault="00D61A60">
      <w:pPr>
        <w:pStyle w:val="ConsPlusNormal"/>
        <w:spacing w:before="220"/>
        <w:ind w:firstLine="540"/>
        <w:jc w:val="both"/>
      </w:pPr>
      <w:r>
        <w:t xml:space="preserve">Проектное предложение по балансу территории квартала приведено в </w:t>
      </w:r>
      <w:hyperlink w:anchor="P154">
        <w:r>
          <w:rPr>
            <w:color w:val="0000FF"/>
          </w:rPr>
          <w:t>таблице N 1</w:t>
        </w:r>
      </w:hyperlink>
      <w:r>
        <w:t>.</w:t>
      </w:r>
    </w:p>
    <w:p w:rsidR="00D61A60" w:rsidRDefault="00D61A60">
      <w:pPr>
        <w:pStyle w:val="ConsPlusNormal"/>
        <w:ind w:firstLine="540"/>
        <w:jc w:val="both"/>
      </w:pPr>
    </w:p>
    <w:p w:rsidR="00D61A60" w:rsidRDefault="00D61A60">
      <w:pPr>
        <w:pStyle w:val="ConsPlusNormal"/>
        <w:jc w:val="right"/>
        <w:outlineLvl w:val="3"/>
      </w:pPr>
      <w:bookmarkStart w:id="2" w:name="P154"/>
      <w:bookmarkEnd w:id="2"/>
      <w:r>
        <w:t>Таблица N 1</w:t>
      </w:r>
    </w:p>
    <w:p w:rsidR="00D61A60" w:rsidRDefault="00D61A60">
      <w:pPr>
        <w:pStyle w:val="ConsPlusNormal"/>
        <w:ind w:firstLine="540"/>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Look w:val="04A0" w:firstRow="1" w:lastRow="0" w:firstColumn="1" w:lastColumn="0" w:noHBand="0" w:noVBand="1"/>
      </w:tblPr>
      <w:tblGrid>
        <w:gridCol w:w="4175"/>
        <w:gridCol w:w="718"/>
        <w:gridCol w:w="1450"/>
        <w:gridCol w:w="821"/>
        <w:gridCol w:w="1450"/>
        <w:gridCol w:w="821"/>
      </w:tblGrid>
      <w:tr w:rsidR="00D61A60">
        <w:trPr>
          <w:trHeight w:val="223"/>
        </w:trPr>
        <w:tc>
          <w:tcPr>
            <w:tcW w:w="4392" w:type="dxa"/>
            <w:vMerge w:val="restart"/>
          </w:tcPr>
          <w:p w:rsidR="00D61A60" w:rsidRDefault="00D61A60">
            <w:pPr>
              <w:pStyle w:val="ConsPlusNonformat"/>
              <w:jc w:val="both"/>
            </w:pPr>
            <w:r>
              <w:t xml:space="preserve">            Территория            </w:t>
            </w:r>
          </w:p>
        </w:tc>
        <w:tc>
          <w:tcPr>
            <w:tcW w:w="732" w:type="dxa"/>
            <w:vMerge w:val="restart"/>
          </w:tcPr>
          <w:p w:rsidR="00D61A60" w:rsidRDefault="00D61A60">
            <w:pPr>
              <w:pStyle w:val="ConsPlusNonformat"/>
              <w:jc w:val="both"/>
            </w:pPr>
            <w:r>
              <w:t xml:space="preserve">Ед. </w:t>
            </w:r>
          </w:p>
          <w:p w:rsidR="00D61A60" w:rsidRDefault="00D61A60">
            <w:pPr>
              <w:pStyle w:val="ConsPlusNonformat"/>
              <w:jc w:val="both"/>
            </w:pPr>
            <w:r>
              <w:t>изм.</w:t>
            </w:r>
          </w:p>
        </w:tc>
        <w:tc>
          <w:tcPr>
            <w:tcW w:w="2318" w:type="dxa"/>
            <w:gridSpan w:val="2"/>
          </w:tcPr>
          <w:p w:rsidR="00D61A60" w:rsidRDefault="00D61A60">
            <w:pPr>
              <w:pStyle w:val="ConsPlusNonformat"/>
              <w:jc w:val="both"/>
            </w:pPr>
            <w:r>
              <w:t xml:space="preserve">  Существующее  </w:t>
            </w:r>
          </w:p>
          <w:p w:rsidR="00D61A60" w:rsidRDefault="00D61A60">
            <w:pPr>
              <w:pStyle w:val="ConsPlusNonformat"/>
              <w:jc w:val="both"/>
            </w:pPr>
            <w:r>
              <w:t xml:space="preserve">   положение    </w:t>
            </w:r>
          </w:p>
        </w:tc>
        <w:tc>
          <w:tcPr>
            <w:tcW w:w="2318" w:type="dxa"/>
            <w:gridSpan w:val="2"/>
          </w:tcPr>
          <w:p w:rsidR="00D61A60" w:rsidRDefault="00D61A60">
            <w:pPr>
              <w:pStyle w:val="ConsPlusNonformat"/>
              <w:jc w:val="both"/>
            </w:pPr>
            <w:r>
              <w:t xml:space="preserve">   Проектное    </w:t>
            </w:r>
          </w:p>
          <w:p w:rsidR="00D61A60" w:rsidRDefault="00D61A60">
            <w:pPr>
              <w:pStyle w:val="ConsPlusNonformat"/>
              <w:jc w:val="both"/>
            </w:pPr>
            <w:r>
              <w:t xml:space="preserve">    решение     </w:t>
            </w:r>
          </w:p>
        </w:tc>
      </w:tr>
      <w:tr w:rsidR="00D61A60">
        <w:tc>
          <w:tcPr>
            <w:tcW w:w="0" w:type="auto"/>
            <w:vMerge/>
            <w:tcBorders>
              <w:top w:val="nil"/>
            </w:tcBorders>
          </w:tcPr>
          <w:p w:rsidR="00D61A60" w:rsidRDefault="00D61A60">
            <w:pPr>
              <w:pStyle w:val="ConsPlusNormal"/>
            </w:pPr>
          </w:p>
        </w:tc>
        <w:tc>
          <w:tcPr>
            <w:tcW w:w="0" w:type="auto"/>
            <w:vMerge/>
            <w:tcBorders>
              <w:top w:val="nil"/>
            </w:tcBorders>
          </w:tcPr>
          <w:p w:rsidR="00D61A60" w:rsidRDefault="00D61A60">
            <w:pPr>
              <w:pStyle w:val="ConsPlusNormal"/>
            </w:pPr>
          </w:p>
        </w:tc>
        <w:tc>
          <w:tcPr>
            <w:tcW w:w="1464" w:type="dxa"/>
            <w:tcBorders>
              <w:top w:val="nil"/>
            </w:tcBorders>
          </w:tcPr>
          <w:p w:rsidR="00D61A60" w:rsidRDefault="00D61A60">
            <w:pPr>
              <w:pStyle w:val="ConsPlusNonformat"/>
              <w:jc w:val="both"/>
            </w:pPr>
            <w:r>
              <w:t>количество</w:t>
            </w:r>
          </w:p>
        </w:tc>
        <w:tc>
          <w:tcPr>
            <w:tcW w:w="854" w:type="dxa"/>
            <w:tcBorders>
              <w:top w:val="nil"/>
            </w:tcBorders>
          </w:tcPr>
          <w:p w:rsidR="00D61A60" w:rsidRDefault="00D61A60">
            <w:pPr>
              <w:pStyle w:val="ConsPlusNonformat"/>
              <w:jc w:val="both"/>
            </w:pPr>
            <w:r>
              <w:t xml:space="preserve">  %  </w:t>
            </w:r>
          </w:p>
        </w:tc>
        <w:tc>
          <w:tcPr>
            <w:tcW w:w="1464" w:type="dxa"/>
            <w:tcBorders>
              <w:top w:val="nil"/>
            </w:tcBorders>
          </w:tcPr>
          <w:p w:rsidR="00D61A60" w:rsidRDefault="00D61A60">
            <w:pPr>
              <w:pStyle w:val="ConsPlusNonformat"/>
              <w:jc w:val="both"/>
            </w:pPr>
            <w:r>
              <w:t>количество</w:t>
            </w:r>
          </w:p>
        </w:tc>
        <w:tc>
          <w:tcPr>
            <w:tcW w:w="854" w:type="dxa"/>
            <w:tcBorders>
              <w:top w:val="nil"/>
            </w:tcBorders>
          </w:tcPr>
          <w:p w:rsidR="00D61A60" w:rsidRDefault="00D61A60">
            <w:pPr>
              <w:pStyle w:val="ConsPlusNonformat"/>
              <w:jc w:val="both"/>
            </w:pPr>
            <w:r>
              <w:t xml:space="preserve">  %  </w:t>
            </w:r>
          </w:p>
        </w:tc>
      </w:tr>
      <w:tr w:rsidR="00D61A60">
        <w:trPr>
          <w:trHeight w:val="223"/>
        </w:trPr>
        <w:tc>
          <w:tcPr>
            <w:tcW w:w="4392" w:type="dxa"/>
            <w:tcBorders>
              <w:top w:val="nil"/>
            </w:tcBorders>
          </w:tcPr>
          <w:p w:rsidR="00D61A60" w:rsidRDefault="00D61A60">
            <w:pPr>
              <w:pStyle w:val="ConsPlusNonformat"/>
              <w:jc w:val="both"/>
            </w:pPr>
            <w:r>
              <w:t xml:space="preserve">                1                 </w:t>
            </w:r>
          </w:p>
        </w:tc>
        <w:tc>
          <w:tcPr>
            <w:tcW w:w="732" w:type="dxa"/>
            <w:tcBorders>
              <w:top w:val="nil"/>
            </w:tcBorders>
          </w:tcPr>
          <w:p w:rsidR="00D61A60" w:rsidRDefault="00D61A60">
            <w:pPr>
              <w:pStyle w:val="ConsPlusNonformat"/>
              <w:jc w:val="both"/>
            </w:pPr>
            <w:r>
              <w:t xml:space="preserve"> 2  </w:t>
            </w:r>
          </w:p>
        </w:tc>
        <w:tc>
          <w:tcPr>
            <w:tcW w:w="1464" w:type="dxa"/>
            <w:tcBorders>
              <w:top w:val="nil"/>
            </w:tcBorders>
          </w:tcPr>
          <w:p w:rsidR="00D61A60" w:rsidRDefault="00D61A60">
            <w:pPr>
              <w:pStyle w:val="ConsPlusNonformat"/>
              <w:jc w:val="both"/>
            </w:pPr>
            <w:r>
              <w:t xml:space="preserve">    3     </w:t>
            </w:r>
          </w:p>
        </w:tc>
        <w:tc>
          <w:tcPr>
            <w:tcW w:w="854" w:type="dxa"/>
            <w:tcBorders>
              <w:top w:val="nil"/>
            </w:tcBorders>
          </w:tcPr>
          <w:p w:rsidR="00D61A60" w:rsidRDefault="00D61A60">
            <w:pPr>
              <w:pStyle w:val="ConsPlusNonformat"/>
              <w:jc w:val="both"/>
            </w:pPr>
            <w:r>
              <w:t xml:space="preserve">  4  </w:t>
            </w:r>
          </w:p>
        </w:tc>
        <w:tc>
          <w:tcPr>
            <w:tcW w:w="1464" w:type="dxa"/>
            <w:tcBorders>
              <w:top w:val="nil"/>
            </w:tcBorders>
          </w:tcPr>
          <w:p w:rsidR="00D61A60" w:rsidRDefault="00D61A60">
            <w:pPr>
              <w:pStyle w:val="ConsPlusNonformat"/>
              <w:jc w:val="both"/>
            </w:pPr>
            <w:r>
              <w:t xml:space="preserve">    5     </w:t>
            </w:r>
          </w:p>
        </w:tc>
        <w:tc>
          <w:tcPr>
            <w:tcW w:w="854" w:type="dxa"/>
            <w:tcBorders>
              <w:top w:val="nil"/>
            </w:tcBorders>
          </w:tcPr>
          <w:p w:rsidR="00D61A60" w:rsidRDefault="00D61A60">
            <w:pPr>
              <w:pStyle w:val="ConsPlusNonformat"/>
              <w:jc w:val="both"/>
            </w:pPr>
            <w:r>
              <w:t xml:space="preserve">  6  </w:t>
            </w:r>
          </w:p>
        </w:tc>
      </w:tr>
      <w:tr w:rsidR="00D61A60">
        <w:trPr>
          <w:trHeight w:val="223"/>
        </w:trPr>
        <w:tc>
          <w:tcPr>
            <w:tcW w:w="4392" w:type="dxa"/>
            <w:tcBorders>
              <w:top w:val="nil"/>
            </w:tcBorders>
          </w:tcPr>
          <w:p w:rsidR="00D61A60" w:rsidRDefault="00D61A60">
            <w:pPr>
              <w:pStyle w:val="ConsPlusNonformat"/>
              <w:jc w:val="both"/>
            </w:pPr>
            <w:r>
              <w:t xml:space="preserve">Территория квартала в красных     </w:t>
            </w:r>
          </w:p>
          <w:p w:rsidR="00D61A60" w:rsidRDefault="00D61A60">
            <w:pPr>
              <w:pStyle w:val="ConsPlusNonformat"/>
              <w:jc w:val="both"/>
            </w:pPr>
            <w:proofErr w:type="gramStart"/>
            <w:r>
              <w:t>линиях</w:t>
            </w:r>
            <w:proofErr w:type="gramEnd"/>
            <w:r>
              <w:t xml:space="preserve">, всего                     </w:t>
            </w:r>
          </w:p>
        </w:tc>
        <w:tc>
          <w:tcPr>
            <w:tcW w:w="732" w:type="dxa"/>
            <w:tcBorders>
              <w:top w:val="nil"/>
            </w:tcBorders>
          </w:tcPr>
          <w:p w:rsidR="00D61A60" w:rsidRDefault="00D61A60">
            <w:pPr>
              <w:pStyle w:val="ConsPlusNonformat"/>
              <w:jc w:val="both"/>
            </w:pPr>
            <w:r>
              <w:t xml:space="preserve"> </w:t>
            </w:r>
            <w:proofErr w:type="gramStart"/>
            <w:r>
              <w:t>га</w:t>
            </w:r>
            <w:proofErr w:type="gramEnd"/>
            <w:r>
              <w:t xml:space="preserve"> </w:t>
            </w:r>
          </w:p>
        </w:tc>
        <w:tc>
          <w:tcPr>
            <w:tcW w:w="1464" w:type="dxa"/>
            <w:tcBorders>
              <w:top w:val="nil"/>
            </w:tcBorders>
          </w:tcPr>
          <w:p w:rsidR="00D61A60" w:rsidRDefault="00D61A60">
            <w:pPr>
              <w:pStyle w:val="ConsPlusNonformat"/>
              <w:jc w:val="both"/>
            </w:pPr>
            <w:r>
              <w:t xml:space="preserve">   12,4   </w:t>
            </w:r>
          </w:p>
        </w:tc>
        <w:tc>
          <w:tcPr>
            <w:tcW w:w="854" w:type="dxa"/>
            <w:tcBorders>
              <w:top w:val="nil"/>
            </w:tcBorders>
          </w:tcPr>
          <w:p w:rsidR="00D61A60" w:rsidRDefault="00D61A60">
            <w:pPr>
              <w:pStyle w:val="ConsPlusNonformat"/>
              <w:jc w:val="both"/>
            </w:pPr>
            <w:r>
              <w:t xml:space="preserve"> 100 </w:t>
            </w:r>
          </w:p>
        </w:tc>
        <w:tc>
          <w:tcPr>
            <w:tcW w:w="1464" w:type="dxa"/>
            <w:tcBorders>
              <w:top w:val="nil"/>
            </w:tcBorders>
          </w:tcPr>
          <w:p w:rsidR="00D61A60" w:rsidRDefault="00D61A60">
            <w:pPr>
              <w:pStyle w:val="ConsPlusNonformat"/>
              <w:jc w:val="both"/>
            </w:pPr>
            <w:r>
              <w:t xml:space="preserve">   12,4   </w:t>
            </w:r>
          </w:p>
        </w:tc>
        <w:tc>
          <w:tcPr>
            <w:tcW w:w="854" w:type="dxa"/>
            <w:tcBorders>
              <w:top w:val="nil"/>
            </w:tcBorders>
          </w:tcPr>
          <w:p w:rsidR="00D61A60" w:rsidRDefault="00D61A60">
            <w:pPr>
              <w:pStyle w:val="ConsPlusNonformat"/>
              <w:jc w:val="both"/>
            </w:pPr>
            <w:r>
              <w:t xml:space="preserve"> 100 </w:t>
            </w:r>
          </w:p>
        </w:tc>
      </w:tr>
      <w:tr w:rsidR="00D61A60">
        <w:trPr>
          <w:trHeight w:val="223"/>
        </w:trPr>
        <w:tc>
          <w:tcPr>
            <w:tcW w:w="4392" w:type="dxa"/>
            <w:tcBorders>
              <w:top w:val="nil"/>
            </w:tcBorders>
          </w:tcPr>
          <w:p w:rsidR="00D61A60" w:rsidRDefault="00D61A60">
            <w:pPr>
              <w:pStyle w:val="ConsPlusNonformat"/>
              <w:jc w:val="both"/>
            </w:pPr>
            <w:r>
              <w:t xml:space="preserve">в том числе: территория жилой     </w:t>
            </w:r>
          </w:p>
          <w:p w:rsidR="00D61A60" w:rsidRDefault="00D61A60">
            <w:pPr>
              <w:pStyle w:val="ConsPlusNonformat"/>
              <w:jc w:val="both"/>
            </w:pPr>
            <w:r>
              <w:t xml:space="preserve">застройки                         </w:t>
            </w:r>
          </w:p>
        </w:tc>
        <w:tc>
          <w:tcPr>
            <w:tcW w:w="732" w:type="dxa"/>
            <w:tcBorders>
              <w:top w:val="nil"/>
            </w:tcBorders>
          </w:tcPr>
          <w:p w:rsidR="00D61A60" w:rsidRDefault="00D61A60">
            <w:pPr>
              <w:pStyle w:val="ConsPlusNonformat"/>
              <w:jc w:val="both"/>
            </w:pPr>
            <w:r>
              <w:t xml:space="preserve"> </w:t>
            </w:r>
            <w:proofErr w:type="gramStart"/>
            <w:r>
              <w:t>га</w:t>
            </w:r>
            <w:proofErr w:type="gramEnd"/>
            <w:r>
              <w:t xml:space="preserve"> </w:t>
            </w:r>
          </w:p>
        </w:tc>
        <w:tc>
          <w:tcPr>
            <w:tcW w:w="1464" w:type="dxa"/>
            <w:tcBorders>
              <w:top w:val="nil"/>
            </w:tcBorders>
          </w:tcPr>
          <w:p w:rsidR="00D61A60" w:rsidRDefault="00D61A60">
            <w:pPr>
              <w:pStyle w:val="ConsPlusNonformat"/>
              <w:jc w:val="both"/>
            </w:pPr>
            <w:r>
              <w:t xml:space="preserve">   11,1   </w:t>
            </w:r>
          </w:p>
        </w:tc>
        <w:tc>
          <w:tcPr>
            <w:tcW w:w="854" w:type="dxa"/>
            <w:tcBorders>
              <w:top w:val="nil"/>
            </w:tcBorders>
          </w:tcPr>
          <w:p w:rsidR="00D61A60" w:rsidRDefault="00D61A60">
            <w:pPr>
              <w:pStyle w:val="ConsPlusNonformat"/>
              <w:jc w:val="both"/>
            </w:pPr>
            <w:r>
              <w:t xml:space="preserve"> 90  </w:t>
            </w:r>
          </w:p>
        </w:tc>
        <w:tc>
          <w:tcPr>
            <w:tcW w:w="1464" w:type="dxa"/>
            <w:tcBorders>
              <w:top w:val="nil"/>
            </w:tcBorders>
          </w:tcPr>
          <w:p w:rsidR="00D61A60" w:rsidRDefault="00D61A60">
            <w:pPr>
              <w:pStyle w:val="ConsPlusNonformat"/>
              <w:jc w:val="both"/>
            </w:pPr>
            <w:r>
              <w:t xml:space="preserve">   9,09   </w:t>
            </w:r>
          </w:p>
        </w:tc>
        <w:tc>
          <w:tcPr>
            <w:tcW w:w="854" w:type="dxa"/>
            <w:tcBorders>
              <w:top w:val="nil"/>
            </w:tcBorders>
          </w:tcPr>
          <w:p w:rsidR="00D61A60" w:rsidRDefault="00D61A60">
            <w:pPr>
              <w:pStyle w:val="ConsPlusNonformat"/>
              <w:jc w:val="both"/>
            </w:pPr>
            <w:r>
              <w:t xml:space="preserve"> 73  </w:t>
            </w:r>
          </w:p>
        </w:tc>
      </w:tr>
      <w:tr w:rsidR="00D61A60">
        <w:trPr>
          <w:trHeight w:val="223"/>
        </w:trPr>
        <w:tc>
          <w:tcPr>
            <w:tcW w:w="4392" w:type="dxa"/>
            <w:tcBorders>
              <w:top w:val="nil"/>
            </w:tcBorders>
          </w:tcPr>
          <w:p w:rsidR="00D61A60" w:rsidRDefault="00D61A60">
            <w:pPr>
              <w:pStyle w:val="ConsPlusNonformat"/>
              <w:jc w:val="both"/>
            </w:pPr>
            <w:r>
              <w:t xml:space="preserve">Территория общего пользования,    </w:t>
            </w:r>
          </w:p>
          <w:p w:rsidR="00D61A60" w:rsidRDefault="00D61A60">
            <w:pPr>
              <w:pStyle w:val="ConsPlusNonformat"/>
              <w:jc w:val="both"/>
            </w:pPr>
            <w:r>
              <w:t xml:space="preserve">всего                             </w:t>
            </w:r>
          </w:p>
        </w:tc>
        <w:tc>
          <w:tcPr>
            <w:tcW w:w="732" w:type="dxa"/>
            <w:tcBorders>
              <w:top w:val="nil"/>
            </w:tcBorders>
          </w:tcPr>
          <w:p w:rsidR="00D61A60" w:rsidRDefault="00D61A60">
            <w:pPr>
              <w:pStyle w:val="ConsPlusNonformat"/>
              <w:jc w:val="both"/>
            </w:pPr>
            <w:r>
              <w:t xml:space="preserve"> </w:t>
            </w:r>
            <w:proofErr w:type="gramStart"/>
            <w:r>
              <w:t>га</w:t>
            </w:r>
            <w:proofErr w:type="gramEnd"/>
            <w:r>
              <w:t xml:space="preserve"> </w:t>
            </w:r>
          </w:p>
        </w:tc>
        <w:tc>
          <w:tcPr>
            <w:tcW w:w="1464" w:type="dxa"/>
            <w:tcBorders>
              <w:top w:val="nil"/>
            </w:tcBorders>
          </w:tcPr>
          <w:p w:rsidR="00D61A60" w:rsidRDefault="00D61A60">
            <w:pPr>
              <w:pStyle w:val="ConsPlusNonformat"/>
              <w:jc w:val="both"/>
            </w:pPr>
            <w:r>
              <w:t xml:space="preserve">   1,3    </w:t>
            </w:r>
          </w:p>
        </w:tc>
        <w:tc>
          <w:tcPr>
            <w:tcW w:w="854" w:type="dxa"/>
            <w:tcBorders>
              <w:top w:val="nil"/>
            </w:tcBorders>
          </w:tcPr>
          <w:p w:rsidR="00D61A60" w:rsidRDefault="00D61A60">
            <w:pPr>
              <w:pStyle w:val="ConsPlusNonformat"/>
              <w:jc w:val="both"/>
            </w:pPr>
            <w:r>
              <w:t xml:space="preserve">  9  </w:t>
            </w:r>
          </w:p>
        </w:tc>
        <w:tc>
          <w:tcPr>
            <w:tcW w:w="1464" w:type="dxa"/>
            <w:tcBorders>
              <w:top w:val="nil"/>
            </w:tcBorders>
          </w:tcPr>
          <w:p w:rsidR="00D61A60" w:rsidRDefault="00D61A60">
            <w:pPr>
              <w:pStyle w:val="ConsPlusNonformat"/>
              <w:jc w:val="both"/>
            </w:pPr>
            <w:r>
              <w:t xml:space="preserve">   3,31   </w:t>
            </w:r>
          </w:p>
        </w:tc>
        <w:tc>
          <w:tcPr>
            <w:tcW w:w="854" w:type="dxa"/>
            <w:tcBorders>
              <w:top w:val="nil"/>
            </w:tcBorders>
          </w:tcPr>
          <w:p w:rsidR="00D61A60" w:rsidRDefault="00D61A60">
            <w:pPr>
              <w:pStyle w:val="ConsPlusNonformat"/>
              <w:jc w:val="both"/>
            </w:pPr>
            <w:r>
              <w:t xml:space="preserve"> 27  </w:t>
            </w:r>
          </w:p>
        </w:tc>
      </w:tr>
      <w:tr w:rsidR="00D61A60">
        <w:trPr>
          <w:trHeight w:val="223"/>
        </w:trPr>
        <w:tc>
          <w:tcPr>
            <w:tcW w:w="4392" w:type="dxa"/>
            <w:tcBorders>
              <w:top w:val="nil"/>
            </w:tcBorders>
          </w:tcPr>
          <w:p w:rsidR="00D61A60" w:rsidRDefault="00D61A60">
            <w:pPr>
              <w:pStyle w:val="ConsPlusNonformat"/>
              <w:jc w:val="both"/>
            </w:pPr>
            <w:r>
              <w:t xml:space="preserve">в том числе: участки школ         </w:t>
            </w:r>
          </w:p>
        </w:tc>
        <w:tc>
          <w:tcPr>
            <w:tcW w:w="732" w:type="dxa"/>
            <w:tcBorders>
              <w:top w:val="nil"/>
            </w:tcBorders>
          </w:tcPr>
          <w:p w:rsidR="00D61A60" w:rsidRDefault="00D61A60">
            <w:pPr>
              <w:pStyle w:val="ConsPlusNonformat"/>
              <w:jc w:val="both"/>
            </w:pPr>
            <w:r>
              <w:t xml:space="preserve"> </w:t>
            </w:r>
            <w:proofErr w:type="gramStart"/>
            <w:r>
              <w:t>га</w:t>
            </w:r>
            <w:proofErr w:type="gramEnd"/>
            <w:r>
              <w:t xml:space="preserve"> </w:t>
            </w:r>
          </w:p>
        </w:tc>
        <w:tc>
          <w:tcPr>
            <w:tcW w:w="1464" w:type="dxa"/>
            <w:tcBorders>
              <w:top w:val="nil"/>
            </w:tcBorders>
          </w:tcPr>
          <w:p w:rsidR="00D61A60" w:rsidRDefault="00D61A60">
            <w:pPr>
              <w:pStyle w:val="ConsPlusNonformat"/>
              <w:jc w:val="both"/>
            </w:pPr>
            <w:r>
              <w:t xml:space="preserve">    -     </w:t>
            </w:r>
          </w:p>
        </w:tc>
        <w:tc>
          <w:tcPr>
            <w:tcW w:w="854" w:type="dxa"/>
            <w:tcBorders>
              <w:top w:val="nil"/>
            </w:tcBorders>
          </w:tcPr>
          <w:p w:rsidR="00D61A60" w:rsidRDefault="00D61A60">
            <w:pPr>
              <w:pStyle w:val="ConsPlusNonformat"/>
              <w:jc w:val="both"/>
            </w:pPr>
            <w:r>
              <w:t xml:space="preserve">  -  </w:t>
            </w:r>
          </w:p>
        </w:tc>
        <w:tc>
          <w:tcPr>
            <w:tcW w:w="1464" w:type="dxa"/>
            <w:tcBorders>
              <w:top w:val="nil"/>
            </w:tcBorders>
          </w:tcPr>
          <w:p w:rsidR="00D61A60" w:rsidRDefault="00D61A60">
            <w:pPr>
              <w:pStyle w:val="ConsPlusNonformat"/>
              <w:jc w:val="both"/>
            </w:pPr>
            <w:r>
              <w:t xml:space="preserve">    -     </w:t>
            </w:r>
          </w:p>
        </w:tc>
        <w:tc>
          <w:tcPr>
            <w:tcW w:w="854" w:type="dxa"/>
            <w:tcBorders>
              <w:top w:val="nil"/>
            </w:tcBorders>
          </w:tcPr>
          <w:p w:rsidR="00D61A60" w:rsidRDefault="00D61A60">
            <w:pPr>
              <w:pStyle w:val="ConsPlusNonformat"/>
              <w:jc w:val="both"/>
            </w:pPr>
            <w:r>
              <w:t xml:space="preserve">  -  </w:t>
            </w:r>
          </w:p>
        </w:tc>
      </w:tr>
      <w:tr w:rsidR="00D61A60">
        <w:trPr>
          <w:trHeight w:val="223"/>
        </w:trPr>
        <w:tc>
          <w:tcPr>
            <w:tcW w:w="4392" w:type="dxa"/>
            <w:tcBorders>
              <w:top w:val="nil"/>
            </w:tcBorders>
          </w:tcPr>
          <w:p w:rsidR="00D61A60" w:rsidRDefault="00D61A60">
            <w:pPr>
              <w:pStyle w:val="ConsPlusNonformat"/>
              <w:jc w:val="both"/>
            </w:pPr>
            <w:r>
              <w:t xml:space="preserve">Участки детских садов             </w:t>
            </w:r>
          </w:p>
        </w:tc>
        <w:tc>
          <w:tcPr>
            <w:tcW w:w="732" w:type="dxa"/>
            <w:tcBorders>
              <w:top w:val="nil"/>
            </w:tcBorders>
          </w:tcPr>
          <w:p w:rsidR="00D61A60" w:rsidRDefault="00D61A60">
            <w:pPr>
              <w:pStyle w:val="ConsPlusNonformat"/>
              <w:jc w:val="both"/>
            </w:pPr>
            <w:r>
              <w:t xml:space="preserve"> </w:t>
            </w:r>
            <w:proofErr w:type="gramStart"/>
            <w:r>
              <w:t>га</w:t>
            </w:r>
            <w:proofErr w:type="gramEnd"/>
            <w:r>
              <w:t xml:space="preserve"> </w:t>
            </w:r>
          </w:p>
        </w:tc>
        <w:tc>
          <w:tcPr>
            <w:tcW w:w="1464" w:type="dxa"/>
            <w:tcBorders>
              <w:top w:val="nil"/>
            </w:tcBorders>
          </w:tcPr>
          <w:p w:rsidR="00D61A60" w:rsidRDefault="00D61A60">
            <w:pPr>
              <w:pStyle w:val="ConsPlusNonformat"/>
              <w:jc w:val="both"/>
            </w:pPr>
            <w:r>
              <w:t xml:space="preserve">    -     </w:t>
            </w:r>
          </w:p>
        </w:tc>
        <w:tc>
          <w:tcPr>
            <w:tcW w:w="854" w:type="dxa"/>
            <w:tcBorders>
              <w:top w:val="nil"/>
            </w:tcBorders>
          </w:tcPr>
          <w:p w:rsidR="00D61A60" w:rsidRDefault="00D61A60">
            <w:pPr>
              <w:pStyle w:val="ConsPlusNonformat"/>
              <w:jc w:val="both"/>
            </w:pPr>
            <w:r>
              <w:t xml:space="preserve">  -  </w:t>
            </w:r>
          </w:p>
        </w:tc>
        <w:tc>
          <w:tcPr>
            <w:tcW w:w="1464" w:type="dxa"/>
            <w:tcBorders>
              <w:top w:val="nil"/>
            </w:tcBorders>
          </w:tcPr>
          <w:p w:rsidR="00D61A60" w:rsidRDefault="00D61A60">
            <w:pPr>
              <w:pStyle w:val="ConsPlusNonformat"/>
              <w:jc w:val="both"/>
            </w:pPr>
            <w:r>
              <w:t xml:space="preserve">   0,81   </w:t>
            </w:r>
          </w:p>
        </w:tc>
        <w:tc>
          <w:tcPr>
            <w:tcW w:w="854" w:type="dxa"/>
            <w:tcBorders>
              <w:top w:val="nil"/>
            </w:tcBorders>
          </w:tcPr>
          <w:p w:rsidR="00D61A60" w:rsidRDefault="00D61A60">
            <w:pPr>
              <w:pStyle w:val="ConsPlusNonformat"/>
              <w:jc w:val="both"/>
            </w:pPr>
            <w:r>
              <w:t xml:space="preserve">  6  </w:t>
            </w:r>
          </w:p>
        </w:tc>
      </w:tr>
      <w:tr w:rsidR="00D61A60">
        <w:trPr>
          <w:trHeight w:val="223"/>
        </w:trPr>
        <w:tc>
          <w:tcPr>
            <w:tcW w:w="4392" w:type="dxa"/>
            <w:tcBorders>
              <w:top w:val="nil"/>
            </w:tcBorders>
          </w:tcPr>
          <w:p w:rsidR="00D61A60" w:rsidRDefault="00D61A60">
            <w:pPr>
              <w:pStyle w:val="ConsPlusNonformat"/>
              <w:jc w:val="both"/>
            </w:pPr>
            <w:r>
              <w:t xml:space="preserve">Участки зеленых насаждений общего </w:t>
            </w:r>
          </w:p>
          <w:p w:rsidR="00D61A60" w:rsidRDefault="00D61A60">
            <w:pPr>
              <w:pStyle w:val="ConsPlusNonformat"/>
              <w:jc w:val="both"/>
            </w:pPr>
            <w:r>
              <w:t xml:space="preserve">пользования и </w:t>
            </w:r>
            <w:proofErr w:type="gramStart"/>
            <w:r>
              <w:t>спортивных</w:t>
            </w:r>
            <w:proofErr w:type="gramEnd"/>
            <w:r>
              <w:t xml:space="preserve">          </w:t>
            </w:r>
          </w:p>
          <w:p w:rsidR="00D61A60" w:rsidRDefault="00D61A60">
            <w:pPr>
              <w:pStyle w:val="ConsPlusNonformat"/>
              <w:jc w:val="both"/>
            </w:pPr>
            <w:r>
              <w:t xml:space="preserve">сооружений                        </w:t>
            </w:r>
          </w:p>
        </w:tc>
        <w:tc>
          <w:tcPr>
            <w:tcW w:w="732" w:type="dxa"/>
            <w:tcBorders>
              <w:top w:val="nil"/>
            </w:tcBorders>
          </w:tcPr>
          <w:p w:rsidR="00D61A60" w:rsidRDefault="00D61A60">
            <w:pPr>
              <w:pStyle w:val="ConsPlusNonformat"/>
              <w:jc w:val="both"/>
            </w:pPr>
            <w:r>
              <w:t xml:space="preserve"> </w:t>
            </w:r>
            <w:proofErr w:type="gramStart"/>
            <w:r>
              <w:t>га</w:t>
            </w:r>
            <w:proofErr w:type="gramEnd"/>
            <w:r>
              <w:t xml:space="preserve"> </w:t>
            </w:r>
          </w:p>
        </w:tc>
        <w:tc>
          <w:tcPr>
            <w:tcW w:w="1464" w:type="dxa"/>
            <w:tcBorders>
              <w:top w:val="nil"/>
            </w:tcBorders>
          </w:tcPr>
          <w:p w:rsidR="00D61A60" w:rsidRDefault="00D61A60">
            <w:pPr>
              <w:pStyle w:val="ConsPlusNonformat"/>
              <w:jc w:val="both"/>
            </w:pPr>
            <w:r>
              <w:t xml:space="preserve">   0,2    </w:t>
            </w:r>
          </w:p>
        </w:tc>
        <w:tc>
          <w:tcPr>
            <w:tcW w:w="854" w:type="dxa"/>
            <w:tcBorders>
              <w:top w:val="nil"/>
            </w:tcBorders>
          </w:tcPr>
          <w:p w:rsidR="00D61A60" w:rsidRDefault="00D61A60">
            <w:pPr>
              <w:pStyle w:val="ConsPlusNonformat"/>
              <w:jc w:val="both"/>
            </w:pPr>
            <w:r>
              <w:t xml:space="preserve">  2  </w:t>
            </w:r>
          </w:p>
        </w:tc>
        <w:tc>
          <w:tcPr>
            <w:tcW w:w="1464" w:type="dxa"/>
            <w:tcBorders>
              <w:top w:val="nil"/>
            </w:tcBorders>
          </w:tcPr>
          <w:p w:rsidR="00D61A60" w:rsidRDefault="00D61A60">
            <w:pPr>
              <w:pStyle w:val="ConsPlusNonformat"/>
              <w:jc w:val="both"/>
            </w:pPr>
            <w:r>
              <w:t xml:space="preserve">   0,2    </w:t>
            </w:r>
          </w:p>
        </w:tc>
        <w:tc>
          <w:tcPr>
            <w:tcW w:w="854" w:type="dxa"/>
            <w:tcBorders>
              <w:top w:val="nil"/>
            </w:tcBorders>
          </w:tcPr>
          <w:p w:rsidR="00D61A60" w:rsidRDefault="00D61A60">
            <w:pPr>
              <w:pStyle w:val="ConsPlusNonformat"/>
              <w:jc w:val="both"/>
            </w:pPr>
            <w:r>
              <w:t xml:space="preserve">  2  </w:t>
            </w:r>
          </w:p>
        </w:tc>
      </w:tr>
      <w:tr w:rsidR="00D61A60">
        <w:trPr>
          <w:trHeight w:val="223"/>
        </w:trPr>
        <w:tc>
          <w:tcPr>
            <w:tcW w:w="4392" w:type="dxa"/>
            <w:tcBorders>
              <w:top w:val="nil"/>
            </w:tcBorders>
          </w:tcPr>
          <w:p w:rsidR="00D61A60" w:rsidRDefault="00D61A60">
            <w:pPr>
              <w:pStyle w:val="ConsPlusNonformat"/>
              <w:jc w:val="both"/>
            </w:pPr>
            <w:r>
              <w:t xml:space="preserve">Участки объектов                  </w:t>
            </w:r>
          </w:p>
          <w:p w:rsidR="00D61A60" w:rsidRDefault="00D61A60">
            <w:pPr>
              <w:pStyle w:val="ConsPlusNonformat"/>
              <w:jc w:val="both"/>
            </w:pPr>
            <w:r>
              <w:t>культурно-бытового и коммунального</w:t>
            </w:r>
          </w:p>
          <w:p w:rsidR="00D61A60" w:rsidRDefault="00D61A60">
            <w:pPr>
              <w:pStyle w:val="ConsPlusNonformat"/>
              <w:jc w:val="both"/>
            </w:pPr>
            <w:r>
              <w:t xml:space="preserve">обслуживания                      </w:t>
            </w:r>
          </w:p>
        </w:tc>
        <w:tc>
          <w:tcPr>
            <w:tcW w:w="732" w:type="dxa"/>
            <w:tcBorders>
              <w:top w:val="nil"/>
            </w:tcBorders>
          </w:tcPr>
          <w:p w:rsidR="00D61A60" w:rsidRDefault="00D61A60">
            <w:pPr>
              <w:pStyle w:val="ConsPlusNonformat"/>
              <w:jc w:val="both"/>
            </w:pPr>
            <w:r>
              <w:t xml:space="preserve"> </w:t>
            </w:r>
            <w:proofErr w:type="gramStart"/>
            <w:r>
              <w:t>га</w:t>
            </w:r>
            <w:proofErr w:type="gramEnd"/>
            <w:r>
              <w:t xml:space="preserve"> </w:t>
            </w:r>
          </w:p>
        </w:tc>
        <w:tc>
          <w:tcPr>
            <w:tcW w:w="1464" w:type="dxa"/>
            <w:tcBorders>
              <w:top w:val="nil"/>
            </w:tcBorders>
          </w:tcPr>
          <w:p w:rsidR="00D61A60" w:rsidRDefault="00D61A60">
            <w:pPr>
              <w:pStyle w:val="ConsPlusNonformat"/>
              <w:jc w:val="both"/>
            </w:pPr>
            <w:r>
              <w:t xml:space="preserve">   0,3    </w:t>
            </w:r>
          </w:p>
        </w:tc>
        <w:tc>
          <w:tcPr>
            <w:tcW w:w="854" w:type="dxa"/>
            <w:tcBorders>
              <w:top w:val="nil"/>
            </w:tcBorders>
          </w:tcPr>
          <w:p w:rsidR="00D61A60" w:rsidRDefault="00D61A60">
            <w:pPr>
              <w:pStyle w:val="ConsPlusNonformat"/>
              <w:jc w:val="both"/>
            </w:pPr>
            <w:r>
              <w:t xml:space="preserve">  3  </w:t>
            </w:r>
          </w:p>
        </w:tc>
        <w:tc>
          <w:tcPr>
            <w:tcW w:w="1464" w:type="dxa"/>
            <w:tcBorders>
              <w:top w:val="nil"/>
            </w:tcBorders>
          </w:tcPr>
          <w:p w:rsidR="00D61A60" w:rsidRDefault="00D61A60">
            <w:pPr>
              <w:pStyle w:val="ConsPlusNonformat"/>
              <w:jc w:val="both"/>
            </w:pPr>
            <w:r>
              <w:t xml:space="preserve">   0,3    </w:t>
            </w:r>
          </w:p>
        </w:tc>
        <w:tc>
          <w:tcPr>
            <w:tcW w:w="854" w:type="dxa"/>
            <w:tcBorders>
              <w:top w:val="nil"/>
            </w:tcBorders>
          </w:tcPr>
          <w:p w:rsidR="00D61A60" w:rsidRDefault="00D61A60">
            <w:pPr>
              <w:pStyle w:val="ConsPlusNonformat"/>
              <w:jc w:val="both"/>
            </w:pPr>
            <w:r>
              <w:t xml:space="preserve">  3  </w:t>
            </w:r>
          </w:p>
        </w:tc>
      </w:tr>
      <w:tr w:rsidR="00D61A60">
        <w:trPr>
          <w:trHeight w:val="223"/>
        </w:trPr>
        <w:tc>
          <w:tcPr>
            <w:tcW w:w="4392" w:type="dxa"/>
            <w:tcBorders>
              <w:top w:val="nil"/>
            </w:tcBorders>
          </w:tcPr>
          <w:p w:rsidR="00D61A60" w:rsidRDefault="00D61A60">
            <w:pPr>
              <w:pStyle w:val="ConsPlusNonformat"/>
              <w:jc w:val="both"/>
            </w:pPr>
            <w:r>
              <w:t xml:space="preserve">Участки гаражей, стоянок          </w:t>
            </w:r>
          </w:p>
        </w:tc>
        <w:tc>
          <w:tcPr>
            <w:tcW w:w="732" w:type="dxa"/>
            <w:tcBorders>
              <w:top w:val="nil"/>
            </w:tcBorders>
          </w:tcPr>
          <w:p w:rsidR="00D61A60" w:rsidRDefault="00D61A60">
            <w:pPr>
              <w:pStyle w:val="ConsPlusNonformat"/>
              <w:jc w:val="both"/>
            </w:pPr>
            <w:r>
              <w:t xml:space="preserve"> </w:t>
            </w:r>
            <w:proofErr w:type="gramStart"/>
            <w:r>
              <w:t>га</w:t>
            </w:r>
            <w:proofErr w:type="gramEnd"/>
            <w:r>
              <w:t xml:space="preserve"> </w:t>
            </w:r>
          </w:p>
        </w:tc>
        <w:tc>
          <w:tcPr>
            <w:tcW w:w="1464" w:type="dxa"/>
            <w:tcBorders>
              <w:top w:val="nil"/>
            </w:tcBorders>
          </w:tcPr>
          <w:p w:rsidR="00D61A60" w:rsidRDefault="00D61A60">
            <w:pPr>
              <w:pStyle w:val="ConsPlusNonformat"/>
              <w:jc w:val="both"/>
            </w:pPr>
            <w:r>
              <w:t xml:space="preserve">    -     </w:t>
            </w:r>
          </w:p>
        </w:tc>
        <w:tc>
          <w:tcPr>
            <w:tcW w:w="854" w:type="dxa"/>
            <w:tcBorders>
              <w:top w:val="nil"/>
            </w:tcBorders>
          </w:tcPr>
          <w:p w:rsidR="00D61A60" w:rsidRDefault="00D61A60">
            <w:pPr>
              <w:pStyle w:val="ConsPlusNonformat"/>
              <w:jc w:val="both"/>
            </w:pPr>
            <w:r>
              <w:t xml:space="preserve">  -  </w:t>
            </w:r>
          </w:p>
        </w:tc>
        <w:tc>
          <w:tcPr>
            <w:tcW w:w="1464" w:type="dxa"/>
            <w:tcBorders>
              <w:top w:val="nil"/>
            </w:tcBorders>
          </w:tcPr>
          <w:p w:rsidR="00D61A60" w:rsidRDefault="00D61A60">
            <w:pPr>
              <w:pStyle w:val="ConsPlusNonformat"/>
              <w:jc w:val="both"/>
            </w:pPr>
            <w:r>
              <w:t xml:space="preserve">    1     </w:t>
            </w:r>
          </w:p>
        </w:tc>
        <w:tc>
          <w:tcPr>
            <w:tcW w:w="854" w:type="dxa"/>
            <w:tcBorders>
              <w:top w:val="nil"/>
            </w:tcBorders>
          </w:tcPr>
          <w:p w:rsidR="00D61A60" w:rsidRDefault="00D61A60">
            <w:pPr>
              <w:pStyle w:val="ConsPlusNonformat"/>
              <w:jc w:val="both"/>
            </w:pPr>
            <w:r>
              <w:t xml:space="preserve">  8  </w:t>
            </w:r>
          </w:p>
        </w:tc>
      </w:tr>
      <w:tr w:rsidR="00D61A60">
        <w:trPr>
          <w:trHeight w:val="223"/>
        </w:trPr>
        <w:tc>
          <w:tcPr>
            <w:tcW w:w="4392" w:type="dxa"/>
            <w:tcBorders>
              <w:top w:val="nil"/>
            </w:tcBorders>
          </w:tcPr>
          <w:p w:rsidR="00D61A60" w:rsidRDefault="00D61A60">
            <w:pPr>
              <w:pStyle w:val="ConsPlusNonformat"/>
              <w:jc w:val="both"/>
            </w:pPr>
            <w:r>
              <w:t xml:space="preserve">Улицы, проезды                    </w:t>
            </w:r>
          </w:p>
        </w:tc>
        <w:tc>
          <w:tcPr>
            <w:tcW w:w="732" w:type="dxa"/>
            <w:tcBorders>
              <w:top w:val="nil"/>
            </w:tcBorders>
          </w:tcPr>
          <w:p w:rsidR="00D61A60" w:rsidRDefault="00D61A60">
            <w:pPr>
              <w:pStyle w:val="ConsPlusNonformat"/>
              <w:jc w:val="both"/>
            </w:pPr>
            <w:r>
              <w:t xml:space="preserve"> </w:t>
            </w:r>
            <w:proofErr w:type="gramStart"/>
            <w:r>
              <w:t>га</w:t>
            </w:r>
            <w:proofErr w:type="gramEnd"/>
            <w:r>
              <w:t xml:space="preserve"> </w:t>
            </w:r>
          </w:p>
        </w:tc>
        <w:tc>
          <w:tcPr>
            <w:tcW w:w="1464" w:type="dxa"/>
            <w:tcBorders>
              <w:top w:val="nil"/>
            </w:tcBorders>
          </w:tcPr>
          <w:p w:rsidR="00D61A60" w:rsidRDefault="00D61A60">
            <w:pPr>
              <w:pStyle w:val="ConsPlusNonformat"/>
              <w:jc w:val="both"/>
            </w:pPr>
            <w:r>
              <w:t xml:space="preserve">   0,6    </w:t>
            </w:r>
          </w:p>
        </w:tc>
        <w:tc>
          <w:tcPr>
            <w:tcW w:w="854" w:type="dxa"/>
            <w:tcBorders>
              <w:top w:val="nil"/>
            </w:tcBorders>
          </w:tcPr>
          <w:p w:rsidR="00D61A60" w:rsidRDefault="00D61A60">
            <w:pPr>
              <w:pStyle w:val="ConsPlusNonformat"/>
              <w:jc w:val="both"/>
            </w:pPr>
            <w:r>
              <w:t xml:space="preserve">  5  </w:t>
            </w:r>
          </w:p>
        </w:tc>
        <w:tc>
          <w:tcPr>
            <w:tcW w:w="1464" w:type="dxa"/>
            <w:tcBorders>
              <w:top w:val="nil"/>
            </w:tcBorders>
          </w:tcPr>
          <w:p w:rsidR="00D61A60" w:rsidRDefault="00D61A60">
            <w:pPr>
              <w:pStyle w:val="ConsPlusNonformat"/>
              <w:jc w:val="both"/>
            </w:pPr>
            <w:r>
              <w:t xml:space="preserve">   0,8    </w:t>
            </w:r>
          </w:p>
        </w:tc>
        <w:tc>
          <w:tcPr>
            <w:tcW w:w="854" w:type="dxa"/>
            <w:tcBorders>
              <w:top w:val="nil"/>
            </w:tcBorders>
          </w:tcPr>
          <w:p w:rsidR="00D61A60" w:rsidRDefault="00D61A60">
            <w:pPr>
              <w:pStyle w:val="ConsPlusNonformat"/>
              <w:jc w:val="both"/>
            </w:pPr>
            <w:r>
              <w:t xml:space="preserve">  6  </w:t>
            </w:r>
          </w:p>
        </w:tc>
      </w:tr>
      <w:tr w:rsidR="00D61A60">
        <w:trPr>
          <w:trHeight w:val="223"/>
        </w:trPr>
        <w:tc>
          <w:tcPr>
            <w:tcW w:w="4392" w:type="dxa"/>
            <w:tcBorders>
              <w:top w:val="nil"/>
            </w:tcBorders>
          </w:tcPr>
          <w:p w:rsidR="00D61A60" w:rsidRDefault="00D61A60">
            <w:pPr>
              <w:pStyle w:val="ConsPlusNonformat"/>
              <w:jc w:val="both"/>
            </w:pPr>
            <w:r>
              <w:t xml:space="preserve">Автостоянки                       </w:t>
            </w:r>
          </w:p>
        </w:tc>
        <w:tc>
          <w:tcPr>
            <w:tcW w:w="732" w:type="dxa"/>
            <w:tcBorders>
              <w:top w:val="nil"/>
            </w:tcBorders>
          </w:tcPr>
          <w:p w:rsidR="00D61A60" w:rsidRDefault="00D61A60">
            <w:pPr>
              <w:pStyle w:val="ConsPlusNonformat"/>
              <w:jc w:val="both"/>
            </w:pPr>
            <w:r>
              <w:t xml:space="preserve"> </w:t>
            </w:r>
            <w:proofErr w:type="gramStart"/>
            <w:r>
              <w:t>га</w:t>
            </w:r>
            <w:proofErr w:type="gramEnd"/>
            <w:r>
              <w:t xml:space="preserve"> </w:t>
            </w:r>
          </w:p>
        </w:tc>
        <w:tc>
          <w:tcPr>
            <w:tcW w:w="1464" w:type="dxa"/>
            <w:tcBorders>
              <w:top w:val="nil"/>
            </w:tcBorders>
          </w:tcPr>
          <w:p w:rsidR="00D61A60" w:rsidRDefault="00D61A60">
            <w:pPr>
              <w:pStyle w:val="ConsPlusNonformat"/>
              <w:jc w:val="both"/>
            </w:pPr>
            <w:r>
              <w:t xml:space="preserve">    -     </w:t>
            </w:r>
          </w:p>
        </w:tc>
        <w:tc>
          <w:tcPr>
            <w:tcW w:w="854" w:type="dxa"/>
            <w:tcBorders>
              <w:top w:val="nil"/>
            </w:tcBorders>
          </w:tcPr>
          <w:p w:rsidR="00D61A60" w:rsidRDefault="00D61A60">
            <w:pPr>
              <w:pStyle w:val="ConsPlusNonformat"/>
              <w:jc w:val="both"/>
            </w:pPr>
            <w:r>
              <w:t xml:space="preserve">  -  </w:t>
            </w:r>
          </w:p>
        </w:tc>
        <w:tc>
          <w:tcPr>
            <w:tcW w:w="1464" w:type="dxa"/>
            <w:tcBorders>
              <w:top w:val="nil"/>
            </w:tcBorders>
          </w:tcPr>
          <w:p w:rsidR="00D61A60" w:rsidRDefault="00D61A60">
            <w:pPr>
              <w:pStyle w:val="ConsPlusNonformat"/>
              <w:jc w:val="both"/>
            </w:pPr>
            <w:r>
              <w:t xml:space="preserve">   0,2    </w:t>
            </w:r>
          </w:p>
        </w:tc>
        <w:tc>
          <w:tcPr>
            <w:tcW w:w="854" w:type="dxa"/>
            <w:tcBorders>
              <w:top w:val="nil"/>
            </w:tcBorders>
          </w:tcPr>
          <w:p w:rsidR="00D61A60" w:rsidRDefault="00D61A60">
            <w:pPr>
              <w:pStyle w:val="ConsPlusNonformat"/>
              <w:jc w:val="both"/>
            </w:pPr>
            <w:r>
              <w:t xml:space="preserve">  2  </w:t>
            </w:r>
          </w:p>
        </w:tc>
      </w:tr>
      <w:tr w:rsidR="00D61A60">
        <w:trPr>
          <w:trHeight w:val="223"/>
        </w:trPr>
        <w:tc>
          <w:tcPr>
            <w:tcW w:w="4392" w:type="dxa"/>
            <w:tcBorders>
              <w:top w:val="nil"/>
            </w:tcBorders>
          </w:tcPr>
          <w:p w:rsidR="00D61A60" w:rsidRDefault="00D61A60">
            <w:pPr>
              <w:pStyle w:val="ConsPlusNonformat"/>
              <w:jc w:val="both"/>
            </w:pPr>
            <w:r>
              <w:t xml:space="preserve">Прочие территории                 </w:t>
            </w:r>
          </w:p>
        </w:tc>
        <w:tc>
          <w:tcPr>
            <w:tcW w:w="732" w:type="dxa"/>
            <w:tcBorders>
              <w:top w:val="nil"/>
            </w:tcBorders>
          </w:tcPr>
          <w:p w:rsidR="00D61A60" w:rsidRDefault="00D61A60">
            <w:pPr>
              <w:pStyle w:val="ConsPlusNonformat"/>
              <w:jc w:val="both"/>
            </w:pPr>
            <w:r>
              <w:t xml:space="preserve"> </w:t>
            </w:r>
            <w:proofErr w:type="gramStart"/>
            <w:r>
              <w:t>га</w:t>
            </w:r>
            <w:proofErr w:type="gramEnd"/>
            <w:r>
              <w:t xml:space="preserve"> </w:t>
            </w:r>
          </w:p>
        </w:tc>
        <w:tc>
          <w:tcPr>
            <w:tcW w:w="1464" w:type="dxa"/>
            <w:tcBorders>
              <w:top w:val="nil"/>
            </w:tcBorders>
          </w:tcPr>
          <w:p w:rsidR="00D61A60" w:rsidRDefault="00D61A60">
            <w:pPr>
              <w:pStyle w:val="ConsPlusNonformat"/>
              <w:jc w:val="both"/>
            </w:pPr>
            <w:r>
              <w:t xml:space="preserve">    -     </w:t>
            </w:r>
          </w:p>
        </w:tc>
        <w:tc>
          <w:tcPr>
            <w:tcW w:w="854" w:type="dxa"/>
            <w:tcBorders>
              <w:top w:val="nil"/>
            </w:tcBorders>
          </w:tcPr>
          <w:p w:rsidR="00D61A60" w:rsidRDefault="00D61A60">
            <w:pPr>
              <w:pStyle w:val="ConsPlusNonformat"/>
              <w:jc w:val="both"/>
            </w:pPr>
            <w:r>
              <w:t xml:space="preserve">  -  </w:t>
            </w:r>
          </w:p>
        </w:tc>
        <w:tc>
          <w:tcPr>
            <w:tcW w:w="1464" w:type="dxa"/>
            <w:tcBorders>
              <w:top w:val="nil"/>
            </w:tcBorders>
          </w:tcPr>
          <w:p w:rsidR="00D61A60" w:rsidRDefault="00D61A60">
            <w:pPr>
              <w:pStyle w:val="ConsPlusNonformat"/>
              <w:jc w:val="both"/>
            </w:pPr>
            <w:r>
              <w:t xml:space="preserve">    -     </w:t>
            </w:r>
          </w:p>
        </w:tc>
        <w:tc>
          <w:tcPr>
            <w:tcW w:w="854" w:type="dxa"/>
            <w:tcBorders>
              <w:top w:val="nil"/>
            </w:tcBorders>
          </w:tcPr>
          <w:p w:rsidR="00D61A60" w:rsidRDefault="00D61A60">
            <w:pPr>
              <w:pStyle w:val="ConsPlusNonformat"/>
              <w:jc w:val="both"/>
            </w:pPr>
            <w:r>
              <w:t xml:space="preserve">  -  </w:t>
            </w:r>
          </w:p>
        </w:tc>
      </w:tr>
    </w:tbl>
    <w:p w:rsidR="00D61A60" w:rsidRDefault="00D61A60">
      <w:pPr>
        <w:pStyle w:val="ConsPlusNormal"/>
        <w:ind w:firstLine="540"/>
        <w:jc w:val="both"/>
      </w:pPr>
    </w:p>
    <w:p w:rsidR="00D61A60" w:rsidRDefault="00D61A60">
      <w:pPr>
        <w:pStyle w:val="ConsPlusNormal"/>
        <w:ind w:firstLine="540"/>
        <w:jc w:val="both"/>
      </w:pPr>
      <w:r>
        <w:t>Описание и обоснование параметров планируемого строительства систем социального, транспортного обслуживания и инженерно-технического обеспечения, необходимых для развития территории, изложены в материалах по обоснованию проекта планировки.</w:t>
      </w:r>
    </w:p>
    <w:p w:rsidR="00D61A60" w:rsidRDefault="00D61A60">
      <w:pPr>
        <w:pStyle w:val="ConsPlusNormal"/>
        <w:ind w:firstLine="540"/>
        <w:jc w:val="both"/>
      </w:pPr>
    </w:p>
    <w:p w:rsidR="00D61A60" w:rsidRDefault="00D61A60">
      <w:pPr>
        <w:pStyle w:val="ConsPlusNormal"/>
        <w:jc w:val="center"/>
        <w:outlineLvl w:val="2"/>
      </w:pPr>
      <w:r>
        <w:t xml:space="preserve">VIII. Защита территории от чрезвычайных ситуаций </w:t>
      </w:r>
      <w:proofErr w:type="gramStart"/>
      <w:r>
        <w:t>природного</w:t>
      </w:r>
      <w:proofErr w:type="gramEnd"/>
    </w:p>
    <w:p w:rsidR="00D61A60" w:rsidRDefault="00D61A60">
      <w:pPr>
        <w:pStyle w:val="ConsPlusNormal"/>
        <w:jc w:val="center"/>
      </w:pPr>
      <w:r>
        <w:t>и техногенного характера, проведения мероприятий</w:t>
      </w:r>
    </w:p>
    <w:p w:rsidR="00D61A60" w:rsidRDefault="00D61A60">
      <w:pPr>
        <w:pStyle w:val="ConsPlusNormal"/>
        <w:jc w:val="center"/>
      </w:pPr>
      <w:r>
        <w:t>по гражданской обороне и обеспечению пожарной безопасности</w:t>
      </w:r>
    </w:p>
    <w:p w:rsidR="00D61A60" w:rsidRDefault="00D61A60">
      <w:pPr>
        <w:pStyle w:val="ConsPlusNormal"/>
        <w:jc w:val="center"/>
      </w:pPr>
    </w:p>
    <w:p w:rsidR="00D61A60" w:rsidRDefault="00D61A60">
      <w:pPr>
        <w:pStyle w:val="ConsPlusNormal"/>
        <w:ind w:firstLine="540"/>
        <w:jc w:val="both"/>
      </w:pPr>
      <w:r>
        <w:t xml:space="preserve">Мероприятия по защите территории от чрезвычайных ситуаций природного и техногенного характера, проведение мероприятий по гражданской обороне и обеспечению пожарной безопасности должны </w:t>
      </w:r>
      <w:proofErr w:type="gramStart"/>
      <w:r>
        <w:t>производится</w:t>
      </w:r>
      <w:proofErr w:type="gramEnd"/>
      <w:r>
        <w:t xml:space="preserve"> в соответствии с положениями Генерального </w:t>
      </w:r>
      <w:hyperlink r:id="rId22">
        <w:r>
          <w:rPr>
            <w:color w:val="0000FF"/>
          </w:rPr>
          <w:t>плана</w:t>
        </w:r>
      </w:hyperlink>
      <w:r>
        <w:t xml:space="preserve"> городского округа город Воронеж.</w:t>
      </w:r>
    </w:p>
    <w:p w:rsidR="00D61A60" w:rsidRDefault="00D61A60">
      <w:pPr>
        <w:pStyle w:val="ConsPlusNormal"/>
        <w:jc w:val="right"/>
      </w:pPr>
    </w:p>
    <w:p w:rsidR="00D61A60" w:rsidRDefault="00D61A60">
      <w:pPr>
        <w:pStyle w:val="ConsPlusNormal"/>
        <w:jc w:val="right"/>
      </w:pPr>
      <w:r>
        <w:t>Руководитель управления</w:t>
      </w:r>
    </w:p>
    <w:p w:rsidR="00D61A60" w:rsidRDefault="00D61A60">
      <w:pPr>
        <w:pStyle w:val="ConsPlusNormal"/>
        <w:jc w:val="right"/>
      </w:pPr>
      <w:r>
        <w:t>главного архитектора городского округа</w:t>
      </w:r>
    </w:p>
    <w:p w:rsidR="00D61A60" w:rsidRDefault="00D61A60">
      <w:pPr>
        <w:pStyle w:val="ConsPlusNormal"/>
        <w:jc w:val="right"/>
      </w:pPr>
      <w:r>
        <w:lastRenderedPageBreak/>
        <w:t>А.В.ШЕВЕЛЕВ</w:t>
      </w:r>
    </w:p>
    <w:p w:rsidR="00D61A60" w:rsidRDefault="00D61A60">
      <w:pPr>
        <w:pStyle w:val="ConsPlusNormal"/>
        <w:ind w:firstLine="540"/>
        <w:jc w:val="both"/>
      </w:pPr>
    </w:p>
    <w:p w:rsidR="00D61A60" w:rsidRDefault="00D61A60">
      <w:pPr>
        <w:pStyle w:val="ConsPlusNormal"/>
        <w:ind w:firstLine="540"/>
        <w:jc w:val="both"/>
      </w:pPr>
    </w:p>
    <w:p w:rsidR="00D61A60" w:rsidRDefault="00D61A60">
      <w:pPr>
        <w:pStyle w:val="ConsPlusNormal"/>
        <w:pBdr>
          <w:bottom w:val="single" w:sz="6" w:space="0" w:color="auto"/>
        </w:pBdr>
        <w:spacing w:before="100" w:after="100"/>
        <w:jc w:val="both"/>
        <w:rPr>
          <w:sz w:val="2"/>
          <w:szCs w:val="2"/>
        </w:rPr>
      </w:pPr>
    </w:p>
    <w:p w:rsidR="005C6CC8" w:rsidRDefault="005C6CC8">
      <w:bookmarkStart w:id="3" w:name="_GoBack"/>
      <w:bookmarkEnd w:id="3"/>
    </w:p>
    <w:sectPr w:rsidR="005C6CC8" w:rsidSect="00DC0A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A60"/>
    <w:rsid w:val="005C6CC8"/>
    <w:rsid w:val="00D61A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61A6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61A6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61A6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61A6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61A6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61A6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61A6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61A6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81&amp;n=53808" TargetMode="External"/><Relationship Id="rId13" Type="http://schemas.openxmlformats.org/officeDocument/2006/relationships/hyperlink" Target="https://login.consultant.ru/link/?req=doc&amp;base=RLAW181&amp;n=31140&amp;dst=100014" TargetMode="External"/><Relationship Id="rId18" Type="http://schemas.openxmlformats.org/officeDocument/2006/relationships/hyperlink" Target="https://login.consultant.ru/link/?req=doc&amp;base=RLAW181&amp;n=29309&amp;dst=100005" TargetMode="External"/><Relationship Id="rId3" Type="http://schemas.openxmlformats.org/officeDocument/2006/relationships/settings" Target="settings.xml"/><Relationship Id="rId21" Type="http://schemas.openxmlformats.org/officeDocument/2006/relationships/hyperlink" Target="https://login.consultant.ru/link/?req=doc&amp;base=RLAW181&amp;n=29309&amp;dst=100005" TargetMode="External"/><Relationship Id="rId7" Type="http://schemas.openxmlformats.org/officeDocument/2006/relationships/hyperlink" Target="https://login.consultant.ru/link/?req=doc&amp;base=LAW&amp;n=146308" TargetMode="External"/><Relationship Id="rId12" Type="http://schemas.openxmlformats.org/officeDocument/2006/relationships/hyperlink" Target="https://login.consultant.ru/link/?req=doc&amp;base=RLAW181&amp;n=29309&amp;dst=100005" TargetMode="External"/><Relationship Id="rId17" Type="http://schemas.openxmlformats.org/officeDocument/2006/relationships/hyperlink" Target="https://login.consultant.ru/link/?req=doc&amp;base=RLAW181&amp;n=51741&amp;dst=100009" TargetMode="External"/><Relationship Id="rId2" Type="http://schemas.microsoft.com/office/2007/relationships/stylesWithEffects" Target="stylesWithEffects.xml"/><Relationship Id="rId16" Type="http://schemas.openxmlformats.org/officeDocument/2006/relationships/hyperlink" Target="https://login.consultant.ru/link/?req=doc&amp;base=RLAW181&amp;n=49625&amp;dst=100009" TargetMode="External"/><Relationship Id="rId20" Type="http://schemas.openxmlformats.org/officeDocument/2006/relationships/hyperlink" Target="https://login.consultant.ru/link/?req=doc&amp;base=RLAW181&amp;n=29309&amp;dst=100005" TargetMode="External"/><Relationship Id="rId1" Type="http://schemas.openxmlformats.org/officeDocument/2006/relationships/styles" Target="styles.xml"/><Relationship Id="rId6" Type="http://schemas.openxmlformats.org/officeDocument/2006/relationships/hyperlink" Target="https://login.consultant.ru/link/?req=doc&amp;base=LAW&amp;n=149845" TargetMode="External"/><Relationship Id="rId11" Type="http://schemas.openxmlformats.org/officeDocument/2006/relationships/hyperlink" Target="https://login.consultant.ru/link/?req=doc&amp;base=RLAW181&amp;n=42039" TargetMode="External"/><Relationship Id="rId24" Type="http://schemas.openxmlformats.org/officeDocument/2006/relationships/theme" Target="theme/theme1.xml"/><Relationship Id="rId5" Type="http://schemas.openxmlformats.org/officeDocument/2006/relationships/hyperlink" Target="https://www.consultant.ru" TargetMode="External"/><Relationship Id="rId15" Type="http://schemas.openxmlformats.org/officeDocument/2006/relationships/hyperlink" Target="https://login.consultant.ru/link/?req=doc&amp;base=LAW&amp;n=149845" TargetMode="External"/><Relationship Id="rId23" Type="http://schemas.openxmlformats.org/officeDocument/2006/relationships/fontTable" Target="fontTable.xml"/><Relationship Id="rId10" Type="http://schemas.openxmlformats.org/officeDocument/2006/relationships/hyperlink" Target="https://login.consultant.ru/link/?req=doc&amp;base=RLAW181&amp;n=42039" TargetMode="External"/><Relationship Id="rId19" Type="http://schemas.openxmlformats.org/officeDocument/2006/relationships/hyperlink" Target="https://login.consultant.ru/link/?req=doc&amp;base=RLAW181&amp;n=49539&amp;dst=100037" TargetMode="External"/><Relationship Id="rId4" Type="http://schemas.openxmlformats.org/officeDocument/2006/relationships/webSettings" Target="webSettings.xml"/><Relationship Id="rId9" Type="http://schemas.openxmlformats.org/officeDocument/2006/relationships/hyperlink" Target="https://login.consultant.ru/link/?req=doc&amp;base=RLAW181&amp;n=29309&amp;dst=100005" TargetMode="External"/><Relationship Id="rId14" Type="http://schemas.openxmlformats.org/officeDocument/2006/relationships/hyperlink" Target="https://login.consultant.ru/link/?req=doc&amp;base=RLAW181&amp;n=49539&amp;dst=100037" TargetMode="External"/><Relationship Id="rId22" Type="http://schemas.openxmlformats.org/officeDocument/2006/relationships/hyperlink" Target="https://login.consultant.ru/link/?req=doc&amp;base=RLAW181&amp;n=29309&amp;dst=1000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3635</Words>
  <Characters>20722</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Михайлова Д.А.</dc:creator>
  <cp:lastModifiedBy>Михайлова Д.А.</cp:lastModifiedBy>
  <cp:revision>1</cp:revision>
  <dcterms:created xsi:type="dcterms:W3CDTF">2026-02-24T08:30:00Z</dcterms:created>
  <dcterms:modified xsi:type="dcterms:W3CDTF">2026-02-24T08:30:00Z</dcterms:modified>
</cp:coreProperties>
</file>